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FE25F" w14:textId="5D6EEA4D" w:rsidR="008F5204" w:rsidRDefault="007A666E" w:rsidP="008F5204">
      <w:pPr>
        <w:pStyle w:val="Heading1"/>
        <w:spacing w:after="0"/>
      </w:pPr>
      <w:r w:rsidRPr="000F2FFC">
        <mc:AlternateContent>
          <mc:Choice Requires="wps">
            <w:drawing>
              <wp:anchor distT="0" distB="0" distL="114300" distR="114300" simplePos="0" relativeHeight="251658240" behindDoc="1" locked="0" layoutInCell="1" allowOverlap="1" wp14:anchorId="5AE51314" wp14:editId="1F1AAD16">
                <wp:simplePos x="0" y="0"/>
                <wp:positionH relativeFrom="page">
                  <wp:posOffset>-22428</wp:posOffset>
                </wp:positionH>
                <wp:positionV relativeFrom="paragraph">
                  <wp:posOffset>-311785</wp:posOffset>
                </wp:positionV>
                <wp:extent cx="7753350" cy="1768475"/>
                <wp:effectExtent l="0" t="0" r="6350" b="0"/>
                <wp:wrapNone/>
                <wp:docPr id="1" name="Rectangle 1"/>
                <wp:cNvGraphicFramePr/>
                <a:graphic xmlns:a="http://schemas.openxmlformats.org/drawingml/2006/main">
                  <a:graphicData uri="http://schemas.microsoft.com/office/word/2010/wordprocessingShape">
                    <wps:wsp>
                      <wps:cNvSpPr/>
                      <wps:spPr>
                        <a:xfrm>
                          <a:off x="0" y="0"/>
                          <a:ext cx="7753350" cy="1768475"/>
                        </a:xfrm>
                        <a:prstGeom prst="rect">
                          <a:avLst/>
                        </a:prstGeom>
                        <a:solidFill>
                          <a:srgbClr val="3C57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92851" id="Rectangle 1" o:spid="_x0000_s1026" style="position:absolute;margin-left:-1.75pt;margin-top:-24.55pt;width:610.5pt;height:139.2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" fillcolor="#3c57a1" stroked="f" strokeweight="1pt">
                <w10:wrap anchorx="page"/>
              </v:rect>
            </w:pict>
          </mc:Fallback>
        </mc:AlternateContent>
      </w:r>
      <w:r w:rsidR="008F5204">
        <w:t>Surviving The</w:t>
      </w:r>
      <w:r w:rsidR="008F5204">
        <w:t xml:space="preserve"> </w:t>
      </w:r>
      <w:r w:rsidR="008F5204">
        <w:t>Economic</w:t>
      </w:r>
    </w:p>
    <w:p w14:paraId="3AC5DEFF" w14:textId="1C8A356A" w:rsidR="000F2FFC" w:rsidRPr="000F2FFC" w:rsidRDefault="008F5204" w:rsidP="008F5204">
      <w:pPr>
        <w:pStyle w:val="Heading1"/>
        <w:spacing w:after="0"/>
      </w:pPr>
      <w:r>
        <w:t>Aftershocks of</w:t>
      </w:r>
      <w:r>
        <w:t xml:space="preserve"> </w:t>
      </w:r>
      <w:r>
        <w:t>COVID-19</w:t>
      </w:r>
    </w:p>
    <w:p w14:paraId="5408B919" w14:textId="52D86CFB" w:rsidR="000F2FFC" w:rsidRPr="000F2FFC" w:rsidRDefault="008F5204" w:rsidP="008F5204">
      <w:pPr>
        <w:pStyle w:val="Heading2"/>
      </w:pPr>
      <w:r>
        <w:t>How rising unemployment is about to create a perfect</w:t>
      </w:r>
      <w:r>
        <w:t xml:space="preserve"> </w:t>
      </w:r>
      <w:r>
        <w:t>storm of increased costs</w:t>
      </w:r>
      <w:r>
        <w:t xml:space="preserve"> </w:t>
      </w:r>
      <w:r>
        <w:t>and complexity—for 2020</w:t>
      </w:r>
      <w:r>
        <w:t xml:space="preserve"> </w:t>
      </w:r>
      <w:r>
        <w:t>and beyond.</w:t>
      </w:r>
    </w:p>
    <w:p w14:paraId="177245AF" w14:textId="160C39DB" w:rsidR="00131126" w:rsidRDefault="00866429" w:rsidP="000F2FFC"/>
    <w:p w14:paraId="50E30FDD" w14:textId="77777777" w:rsidR="000F2FFC" w:rsidRDefault="000F2FFC" w:rsidP="000F2FFC">
      <w:pPr>
        <w:sectPr w:rsidR="000F2FFC" w:rsidSect="007A666E">
          <w:headerReference w:type="default" r:id="rId8"/>
          <w:footerReference w:type="default" r:id="rId9"/>
          <w:pgSz w:w="12240" w:h="15840"/>
          <w:pgMar w:top="1953" w:right="1440" w:bottom="1440" w:left="1440" w:header="720" w:footer="720" w:gutter="0"/>
          <w:cols w:space="720"/>
          <w:docGrid w:linePitch="360"/>
        </w:sectPr>
      </w:pPr>
    </w:p>
    <w:p w14:paraId="2788B195" w14:textId="77777777" w:rsidR="008F5204" w:rsidRDefault="008F5204" w:rsidP="000F2FFC">
      <w:pPr>
        <w:pStyle w:val="NoSpacing"/>
      </w:pPr>
      <w:r w:rsidRPr="008F5204">
        <w:t>The major challenges and massive uncertainties for small and medium-sized businesses in 2020 will lead to major rate hikes in 2021 and beyond. How can you plan now to best ensure your survival over the long term?</w:t>
      </w:r>
    </w:p>
    <w:p w14:paraId="329647B1" w14:textId="77777777" w:rsidR="008F5204" w:rsidRDefault="008F5204" w:rsidP="000F2FFC">
      <w:pPr>
        <w:pStyle w:val="NoSpacing"/>
      </w:pPr>
    </w:p>
    <w:p w14:paraId="5213FA21" w14:textId="421173DA" w:rsidR="008F5204" w:rsidRDefault="008F5204" w:rsidP="000F2FFC">
      <w:pPr>
        <w:pStyle w:val="NoSpacing"/>
        <w:sectPr w:rsidR="008F5204" w:rsidSect="007A666E">
          <w:type w:val="continuous"/>
          <w:pgSz w:w="12240" w:h="15840"/>
          <w:pgMar w:top="1440" w:right="1440" w:bottom="1440" w:left="1440" w:header="720" w:footer="720" w:gutter="0"/>
          <w:cols w:space="720"/>
          <w:docGrid w:linePitch="360"/>
        </w:sectPr>
      </w:pPr>
    </w:p>
    <w:p w14:paraId="7000E4C8" w14:textId="12103C29" w:rsidR="008F5204" w:rsidRDefault="008F5204" w:rsidP="008F5204">
      <w:pPr>
        <w:pStyle w:val="NoSpacing"/>
      </w:pPr>
      <w:r>
        <w:t xml:space="preserve">The unpredictable nature of a pandemic means many regions could see not just one—but multiple shutdowns before the COVID-19 crisis is over. You may already be struggling with cash flow issues, and we can expect to see more fallout from economic aftershocks from the spring quarantines. </w:t>
      </w:r>
    </w:p>
    <w:p w14:paraId="13E09C5B" w14:textId="77777777" w:rsidR="008F5204" w:rsidRDefault="008F5204" w:rsidP="008F5204">
      <w:pPr>
        <w:pStyle w:val="NoSpacing"/>
      </w:pPr>
    </w:p>
    <w:p w14:paraId="6D55B986" w14:textId="77777777" w:rsidR="008F5204" w:rsidRDefault="008F5204" w:rsidP="008F5204">
      <w:pPr>
        <w:pStyle w:val="NoSpacing"/>
      </w:pPr>
      <w:r>
        <w:t>For most businesses, staying staffed and profitable will require a lot of contingency planning and resilience.</w:t>
      </w:r>
    </w:p>
    <w:p w14:paraId="31027C2A" w14:textId="77777777" w:rsidR="008F5204" w:rsidRDefault="008F5204" w:rsidP="008F5204">
      <w:pPr>
        <w:pStyle w:val="NoSpacing"/>
      </w:pPr>
    </w:p>
    <w:p w14:paraId="0CBB470A" w14:textId="2ADB1006" w:rsidR="008F5204" w:rsidRDefault="008F5204" w:rsidP="008F5204">
      <w:pPr>
        <w:pStyle w:val="NoSpacing"/>
      </w:pPr>
      <w:r>
        <w:t>Total labor cost is a major concern for businesses right now. How can you best handle temporary or permanent workforce reductions? When and how should you plan to re-onboard employees? If you’ve never had layoffs or furloughs before, your HR team may also be overwhelmed by questions.</w:t>
      </w:r>
    </w:p>
    <w:p w14:paraId="1B02B4C7" w14:textId="77777777" w:rsidR="008F5204" w:rsidRDefault="008F5204" w:rsidP="008F5204">
      <w:pPr>
        <w:pStyle w:val="NoSpacing"/>
      </w:pPr>
    </w:p>
    <w:p w14:paraId="07A0F9C4" w14:textId="476223C2" w:rsidR="008F5204" w:rsidRDefault="008F5204" w:rsidP="008F5204">
      <w:pPr>
        <w:pStyle w:val="NoSpacing"/>
      </w:pPr>
      <w:r w:rsidRPr="008F5204">
        <w:rPr>
          <w:b/>
          <w:bCs/>
        </w:rPr>
        <w:t>What steps should you be taking to survive? And when this year is behind us, what will be the knock-on effects for 2021?</w:t>
      </w:r>
      <w:r>
        <w:t xml:space="preserve"> How can you best set up your organization to mitigate the revenue impact and other risks?</w:t>
      </w:r>
    </w:p>
    <w:p w14:paraId="49FEF4FF" w14:textId="77777777" w:rsidR="008F5204" w:rsidRDefault="008F5204" w:rsidP="008F5204">
      <w:pPr>
        <w:pStyle w:val="NoSpacing"/>
      </w:pPr>
    </w:p>
    <w:p w14:paraId="459A9158" w14:textId="51DDEDF7" w:rsidR="008F5204" w:rsidRDefault="008F5204" w:rsidP="008F5204">
      <w:pPr>
        <w:pStyle w:val="NoSpacing"/>
      </w:pPr>
      <w:r>
        <w:t xml:space="preserve">How you handle these employee related expenses will be felt in your business for years to come. One thing is certain: The cost to handle administration of employees is going to rise. But how much it rises, and for how long, will depend on the work you do now. </w:t>
      </w:r>
    </w:p>
    <w:p w14:paraId="02A2C5D7" w14:textId="77777777" w:rsidR="008F5204" w:rsidRDefault="008F5204" w:rsidP="008F5204">
      <w:pPr>
        <w:pStyle w:val="NoSpacing"/>
      </w:pPr>
    </w:p>
    <w:p w14:paraId="55C6BF33" w14:textId="4C08A4B0" w:rsidR="008F5204" w:rsidRDefault="008F5204" w:rsidP="008F5204">
      <w:pPr>
        <w:pStyle w:val="NoSpacing"/>
      </w:pPr>
      <w:r>
        <w:t>This eBook will run you through some of the pitfalls around workforce reduction and re-expansion—like unemployment insurance taxes and benefits administration— and help to flag places where good decisioning today, or the help of experts, might help to reduce both current risk and future economic hits.</w:t>
      </w:r>
    </w:p>
    <w:p w14:paraId="70353FCD" w14:textId="77777777" w:rsidR="008F5204" w:rsidRDefault="008F5204" w:rsidP="008F5204">
      <w:pPr>
        <w:pStyle w:val="NoSpacing"/>
      </w:pPr>
    </w:p>
    <w:p w14:paraId="25E5B6C7" w14:textId="5509B36D" w:rsidR="000F2FFC" w:rsidRDefault="008F5204" w:rsidP="008F5204">
      <w:pPr>
        <w:pStyle w:val="NoSpacing"/>
      </w:pPr>
      <w:r>
        <w:t>Let’s get started.</w:t>
      </w:r>
    </w:p>
    <w:p w14:paraId="363E5B8F" w14:textId="77777777" w:rsidR="008F5204" w:rsidRDefault="008F5204" w:rsidP="000F2FFC">
      <w:pPr>
        <w:pStyle w:val="NoSpacing"/>
      </w:pPr>
    </w:p>
    <w:p w14:paraId="341DACBE" w14:textId="264EC092" w:rsidR="000F2FFC" w:rsidRDefault="000F2FFC" w:rsidP="000F2FFC">
      <w:pPr>
        <w:pStyle w:val="NoSpacing"/>
      </w:pPr>
      <w:r>
        <w:rPr>
          <w:noProof/>
        </w:rPr>
        <mc:AlternateContent>
          <mc:Choice Requires="wps">
            <w:drawing>
              <wp:anchor distT="0" distB="0" distL="114300" distR="114300" simplePos="0" relativeHeight="251659264" behindDoc="0" locked="0" layoutInCell="1" allowOverlap="1" wp14:anchorId="54560C7B" wp14:editId="66C12215">
                <wp:simplePos x="0" y="0"/>
                <wp:positionH relativeFrom="column">
                  <wp:posOffset>-166370</wp:posOffset>
                </wp:positionH>
                <wp:positionV relativeFrom="paragraph">
                  <wp:posOffset>147955</wp:posOffset>
                </wp:positionV>
                <wp:extent cx="62769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1F94D"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1pt,11.65pt" to="481.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" strokecolor="#63666a" strokeweight=".5pt">
                <v:stroke joinstyle="miter"/>
              </v:line>
            </w:pict>
          </mc:Fallback>
        </mc:AlternateContent>
      </w:r>
    </w:p>
    <w:p w14:paraId="3FFC0018" w14:textId="33F5D07A" w:rsidR="000F2FFC" w:rsidRDefault="000F2FFC" w:rsidP="000F2FFC">
      <w:pPr>
        <w:pStyle w:val="NoSpacing"/>
      </w:pPr>
    </w:p>
    <w:p w14:paraId="076228DE" w14:textId="77777777" w:rsidR="008F5204" w:rsidRDefault="008F5204" w:rsidP="008F5204">
      <w:pPr>
        <w:pStyle w:val="CallOutQuote"/>
      </w:pPr>
    </w:p>
    <w:p w14:paraId="23FC6F83" w14:textId="398C6AAD" w:rsidR="008F5204" w:rsidRDefault="008F5204">
      <w:pPr>
        <w:rPr>
          <w:rFonts w:eastAsia="Times New Roman" w:cstheme="majorBidi"/>
          <w:b/>
          <w:bCs/>
          <w:color w:val="3C57A1"/>
          <w:sz w:val="40"/>
          <w:szCs w:val="40"/>
        </w:rPr>
      </w:pPr>
    </w:p>
    <w:p w14:paraId="59083B48" w14:textId="413832AA" w:rsidR="008F5204" w:rsidRDefault="008F5204" w:rsidP="008F5204">
      <w:pPr>
        <w:pStyle w:val="CallOutQuote"/>
      </w:pPr>
      <w:r>
        <w:lastRenderedPageBreak/>
        <w:t>Unemployment Tax Rates</w:t>
      </w:r>
    </w:p>
    <w:p w14:paraId="3F58CBD1" w14:textId="2BD710E6" w:rsidR="008F5204" w:rsidRDefault="008F5204" w:rsidP="008F5204">
      <w:pPr>
        <w:pStyle w:val="CallOutQuote"/>
        <w:sectPr w:rsidR="008F5204" w:rsidSect="009B4B72">
          <w:type w:val="continuous"/>
          <w:pgSz w:w="12240" w:h="15840"/>
          <w:pgMar w:top="1440" w:right="1440" w:bottom="1440" w:left="1440" w:header="720" w:footer="720" w:gutter="0"/>
          <w:cols w:space="720"/>
          <w:docGrid w:linePitch="360"/>
        </w:sectPr>
      </w:pPr>
    </w:p>
    <w:p w14:paraId="02D781EE" w14:textId="77777777" w:rsidR="0047430F" w:rsidRDefault="0047430F" w:rsidP="000F2FFC">
      <w:pPr>
        <w:pStyle w:val="NoSpacing"/>
        <w:sectPr w:rsidR="0047430F" w:rsidSect="000F2FFC">
          <w:type w:val="continuous"/>
          <w:pgSz w:w="12240" w:h="15840"/>
          <w:pgMar w:top="1440" w:right="1440" w:bottom="1440" w:left="1440" w:header="720" w:footer="720" w:gutter="0"/>
          <w:cols w:space="720"/>
          <w:docGrid w:linePitch="360"/>
        </w:sectPr>
      </w:pPr>
    </w:p>
    <w:p w14:paraId="015ABB6D" w14:textId="77777777" w:rsidR="008F5204" w:rsidRDefault="008F5204" w:rsidP="008F5204">
      <w:pPr>
        <w:pStyle w:val="NoSpacing"/>
      </w:pPr>
    </w:p>
    <w:p w14:paraId="70A8AD86" w14:textId="74F16C63" w:rsidR="008F5204" w:rsidRDefault="008F5204" w:rsidP="008F5204">
      <w:pPr>
        <w:pStyle w:val="NoSpacing"/>
      </w:pPr>
      <w:r>
        <w:t>Unemployment rates in 2020 are the highest we’ve seen since the end of the Great Depression—which means they are also the highest they’ve ever been since shortly after the introduction of unemployment insurance in 1935.</w:t>
      </w:r>
    </w:p>
    <w:p w14:paraId="6CD812D7" w14:textId="77777777" w:rsidR="008F5204" w:rsidRDefault="008F5204" w:rsidP="008F5204">
      <w:pPr>
        <w:pStyle w:val="NoSpacing"/>
      </w:pPr>
    </w:p>
    <w:p w14:paraId="1215D456" w14:textId="77777777" w:rsidR="008F5204" w:rsidRDefault="008F5204" w:rsidP="008F5204">
      <w:pPr>
        <w:pStyle w:val="NoSpacing"/>
      </w:pPr>
      <w:r>
        <w:t>That means state unemployment insurance funds are being decimated at unprecedented, unsustainable and alarming rates. In fact, many states are exhausting their unemployment funds. The system has never been so strained.</w:t>
      </w:r>
    </w:p>
    <w:p w14:paraId="167348BB" w14:textId="77777777" w:rsidR="008F5204" w:rsidRDefault="008F5204" w:rsidP="008F5204">
      <w:pPr>
        <w:pStyle w:val="NoSpacing"/>
      </w:pPr>
    </w:p>
    <w:p w14:paraId="6A7F9505" w14:textId="3857AC21" w:rsidR="008F5204" w:rsidRPr="008F5204" w:rsidRDefault="008F5204" w:rsidP="008F5204">
      <w:pPr>
        <w:pStyle w:val="NoSpacing"/>
        <w:rPr>
          <w:b/>
          <w:bCs/>
        </w:rPr>
      </w:pPr>
      <w:r w:rsidRPr="008F5204">
        <w:rPr>
          <w:b/>
          <w:bCs/>
        </w:rPr>
        <w:t xml:space="preserve">A tax tsunami is coming </w:t>
      </w:r>
    </w:p>
    <w:p w14:paraId="1A349654" w14:textId="77777777" w:rsidR="008F5204" w:rsidRDefault="008F5204" w:rsidP="008F5204">
      <w:pPr>
        <w:pStyle w:val="NoSpacing"/>
      </w:pPr>
    </w:p>
    <w:p w14:paraId="3B84E058" w14:textId="274B98E0" w:rsidR="008F5204" w:rsidRDefault="008F5204" w:rsidP="008F5204">
      <w:pPr>
        <w:pStyle w:val="NoSpacing"/>
      </w:pPr>
      <w:r>
        <w:t xml:space="preserve">Ultimately, it is employers who will have to pay the tab to replenish and support those funds. Beginning in 2021, you can expect hikes in your employer- paid state unemployment tax rates. </w:t>
      </w:r>
    </w:p>
    <w:p w14:paraId="0D8E4DCE" w14:textId="77777777" w:rsidR="008F5204" w:rsidRDefault="008F5204" w:rsidP="008F5204">
      <w:pPr>
        <w:pStyle w:val="NoSpacing"/>
      </w:pPr>
    </w:p>
    <w:p w14:paraId="6A625734" w14:textId="6665B469" w:rsidR="008F5204" w:rsidRDefault="008F5204" w:rsidP="008F5204">
      <w:pPr>
        <w:pStyle w:val="NoSpacing"/>
      </w:pPr>
      <w:r>
        <w:t>How much you pay will correspond with two variables:</w:t>
      </w:r>
    </w:p>
    <w:p w14:paraId="468B31C9" w14:textId="21DB052D" w:rsidR="008F5204" w:rsidRDefault="008F5204" w:rsidP="008F5204">
      <w:pPr>
        <w:pStyle w:val="NoSpacing"/>
        <w:numPr>
          <w:ilvl w:val="0"/>
          <w:numId w:val="1"/>
        </w:numPr>
      </w:pPr>
      <w:r>
        <w:t>Your own number of unemployment claims</w:t>
      </w:r>
    </w:p>
    <w:p w14:paraId="6501B6DF" w14:textId="77777777" w:rsidR="008F5204" w:rsidRDefault="008F5204" w:rsidP="008F5204">
      <w:pPr>
        <w:pStyle w:val="NoSpacing"/>
        <w:numPr>
          <w:ilvl w:val="0"/>
          <w:numId w:val="1"/>
        </w:numPr>
      </w:pPr>
      <w:r>
        <w:t>The general, socialized rates for the coming year.</w:t>
      </w:r>
    </w:p>
    <w:p w14:paraId="7EE35701" w14:textId="77777777" w:rsidR="008F5204" w:rsidRDefault="008F5204" w:rsidP="008F5204">
      <w:pPr>
        <w:pStyle w:val="NoSpacing"/>
      </w:pPr>
    </w:p>
    <w:p w14:paraId="0DD17476" w14:textId="66C717A7" w:rsidR="008F5204" w:rsidRDefault="008F5204" w:rsidP="008F5204">
      <w:pPr>
        <w:pStyle w:val="NoSpacing"/>
      </w:pPr>
      <w:r>
        <w:t xml:space="preserve">Most employers already know that their rates will rise if they lay off workers. You may be less aware that, even if you didn’t lay off any workers, you will still be paying a significantly higher rate for unemployment taxes in 2021—and possibly for years to come. </w:t>
      </w:r>
    </w:p>
    <w:p w14:paraId="401D0DE5" w14:textId="77777777" w:rsidR="008F5204" w:rsidRDefault="008F5204" w:rsidP="008F5204">
      <w:pPr>
        <w:pStyle w:val="NoSpacing"/>
      </w:pPr>
    </w:p>
    <w:p w14:paraId="376D987A" w14:textId="728DAC6F" w:rsidR="008F5204" w:rsidRDefault="008F5204" w:rsidP="008F5204">
      <w:pPr>
        <w:pStyle w:val="NoSpacing"/>
      </w:pPr>
      <w:r>
        <w:t xml:space="preserve">That is because the general funds in each state are now depleted and will need to be renewed—and all businesses bear some of the cost of refilling those tanks. To make it worse, federal unemployment rates are also affected, and will likewise rise in 2021— applying to the first $7k you pay to each employee, annually. </w:t>
      </w:r>
    </w:p>
    <w:p w14:paraId="78D86D03" w14:textId="77777777" w:rsidR="008F5204" w:rsidRDefault="008F5204" w:rsidP="008F5204">
      <w:pPr>
        <w:pStyle w:val="NoSpacing"/>
      </w:pPr>
    </w:p>
    <w:p w14:paraId="4E1807B6" w14:textId="35AACF80" w:rsidR="000F2FFC" w:rsidRDefault="008F5204" w:rsidP="008F5204">
      <w:pPr>
        <w:pStyle w:val="NoSpacing"/>
      </w:pPr>
      <w:r>
        <w:t>And finally, similarly to unemployment insurance, workers compensation has been strained, and those rates can also be expected to rise. This is due to a steep increase in COVID-related health issues stemming from work. It all rolls up to a hefty price tag, on top of your other economic challenges.</w:t>
      </w:r>
      <w:r>
        <w:t xml:space="preserve"> </w:t>
      </w:r>
      <w:r>
        <w:t>How you handle these employee related expenses will be felt in your business for years to come. One thing is certain: The cost to handle administration of employees is going to rise. But how much it rises</w:t>
      </w:r>
    </w:p>
    <w:p w14:paraId="74E73C03" w14:textId="65F6291D" w:rsidR="008F5204" w:rsidRDefault="008F5204" w:rsidP="008F5204">
      <w:pPr>
        <w:pStyle w:val="NoSpacing"/>
      </w:pPr>
    </w:p>
    <w:p w14:paraId="7C975BE5" w14:textId="77777777" w:rsidR="008F5204" w:rsidRDefault="008F5204" w:rsidP="008F5204">
      <w:pPr>
        <w:pStyle w:val="CallOutQuote"/>
      </w:pPr>
      <w:r>
        <w:t>Mitigating the Impact of Rate Hikes</w:t>
      </w:r>
    </w:p>
    <w:p w14:paraId="55AD58C0" w14:textId="77777777" w:rsidR="008F5204" w:rsidRDefault="008F5204" w:rsidP="008F5204">
      <w:pPr>
        <w:pStyle w:val="NoSpacing"/>
      </w:pPr>
    </w:p>
    <w:p w14:paraId="7632A1A0" w14:textId="77777777" w:rsidR="008F5204" w:rsidRDefault="008F5204" w:rsidP="008F5204">
      <w:pPr>
        <w:pStyle w:val="NoSpacing"/>
      </w:pPr>
      <w:r>
        <w:t>How can businesses navigate the complexities and reduce the impact of these coming increases?</w:t>
      </w:r>
    </w:p>
    <w:p w14:paraId="58B6A109" w14:textId="77777777" w:rsidR="008F5204" w:rsidRDefault="008F5204" w:rsidP="008F5204">
      <w:pPr>
        <w:pStyle w:val="NoSpacing"/>
      </w:pPr>
    </w:p>
    <w:p w14:paraId="0F6F7C33" w14:textId="549E51D8" w:rsidR="008F5204" w:rsidRDefault="008F5204" w:rsidP="008F5204">
      <w:pPr>
        <w:pStyle w:val="NoSpacing"/>
      </w:pPr>
      <w:r>
        <w:t xml:space="preserve">When it comes to taxes and benefit rate increases due to layoffs, employers do have some choices to make around how they separate from employees and for how long. Furloughing, salary reductions, unpaid leave, and short term compensation with partial pay or benefits are all ways employers might be able to avoid unemployment applications that could drive up rates. </w:t>
      </w:r>
    </w:p>
    <w:p w14:paraId="288B1723" w14:textId="77777777" w:rsidR="008F5204" w:rsidRDefault="008F5204" w:rsidP="008F5204">
      <w:pPr>
        <w:pStyle w:val="NoSpacing"/>
      </w:pPr>
    </w:p>
    <w:p w14:paraId="42FC7AC8" w14:textId="714CC0BD" w:rsidR="008F5204" w:rsidRDefault="008F5204" w:rsidP="008F5204">
      <w:pPr>
        <w:pStyle w:val="NoSpacing"/>
      </w:pPr>
      <w:r>
        <w:t>You will also want to check with your legal advisors to ensure there are no risks or adverse impact from your layoff choices—arising from EEOC or ADA guidelines— that could open you up to costly legal action.</w:t>
      </w:r>
    </w:p>
    <w:p w14:paraId="49841929" w14:textId="77777777" w:rsidR="008F5204" w:rsidRDefault="008F5204" w:rsidP="008F5204">
      <w:pPr>
        <w:pStyle w:val="NoSpacing"/>
      </w:pPr>
    </w:p>
    <w:p w14:paraId="6AFF24B8" w14:textId="7B035295" w:rsidR="008F5204" w:rsidRDefault="008F5204" w:rsidP="008F5204">
      <w:pPr>
        <w:pStyle w:val="NoSpacing"/>
      </w:pPr>
      <w:r>
        <w:lastRenderedPageBreak/>
        <w:t xml:space="preserve">Some companies may decide to restructure their organization by combining accounts or through upcoming merger and acquisition activities. </w:t>
      </w:r>
    </w:p>
    <w:p w14:paraId="2A6B53E6" w14:textId="77777777" w:rsidR="008F5204" w:rsidRDefault="008F5204" w:rsidP="008F5204">
      <w:pPr>
        <w:pStyle w:val="NoSpacing"/>
      </w:pPr>
    </w:p>
    <w:p w14:paraId="59308D6B" w14:textId="6BC61D9F" w:rsidR="008F5204" w:rsidRDefault="008F5204" w:rsidP="008F5204">
      <w:pPr>
        <w:pStyle w:val="NoSpacing"/>
      </w:pPr>
      <w:r>
        <w:t>An even better risk management strategy is to work with a professional employer organization (PEO). PEOs aggregate multiple businesses together which can help you in several important ways:</w:t>
      </w:r>
    </w:p>
    <w:p w14:paraId="77C998C7" w14:textId="77777777" w:rsidR="008F5204" w:rsidRDefault="008F5204" w:rsidP="008F5204">
      <w:pPr>
        <w:pStyle w:val="NoSpacing"/>
      </w:pPr>
    </w:p>
    <w:p w14:paraId="36AE3556" w14:textId="727E7133" w:rsidR="008F5204" w:rsidRDefault="008F5204" w:rsidP="008F5204">
      <w:pPr>
        <w:pStyle w:val="NoSpacing"/>
        <w:numPr>
          <w:ilvl w:val="0"/>
          <w:numId w:val="2"/>
        </w:numPr>
      </w:pPr>
      <w:r>
        <w:t xml:space="preserve">PEOs can help to navigate the complexities of unemployment insurance, reviewing, tracking and following up on or appealing claims for you.  </w:t>
      </w:r>
    </w:p>
    <w:p w14:paraId="5440FA8F" w14:textId="77777777" w:rsidR="008F5204" w:rsidRDefault="008F5204" w:rsidP="008F5204">
      <w:pPr>
        <w:pStyle w:val="NoSpacing"/>
        <w:numPr>
          <w:ilvl w:val="0"/>
          <w:numId w:val="2"/>
        </w:numPr>
      </w:pPr>
      <w:r>
        <w:t>If a PEO moves your employees to their entity it can bring your costs down immediately, as the PEO bears the costs of unemployment insurance tax increases for 2021 and beyond.</w:t>
      </w:r>
    </w:p>
    <w:p w14:paraId="40486B04" w14:textId="77777777" w:rsidR="00DD2CFA" w:rsidRDefault="008F5204" w:rsidP="008F5204">
      <w:pPr>
        <w:pStyle w:val="NoSpacing"/>
        <w:numPr>
          <w:ilvl w:val="0"/>
          <w:numId w:val="2"/>
        </w:numPr>
      </w:pPr>
      <w:r>
        <w:t>Working with a PEO can also help mitigate and offset future rate increases in worker’s compensation.</w:t>
      </w:r>
    </w:p>
    <w:p w14:paraId="17FC8E41" w14:textId="77777777" w:rsidR="00DD2CFA" w:rsidRDefault="008F5204" w:rsidP="008F5204">
      <w:pPr>
        <w:pStyle w:val="NoSpacing"/>
        <w:numPr>
          <w:ilvl w:val="0"/>
          <w:numId w:val="2"/>
        </w:numPr>
      </w:pPr>
      <w:r>
        <w:t>Working with a PEO will help to insulate your business against potential legal actions.</w:t>
      </w:r>
    </w:p>
    <w:p w14:paraId="0E3EE07C" w14:textId="331DC432" w:rsidR="008F5204" w:rsidRDefault="008F5204" w:rsidP="008F5204">
      <w:pPr>
        <w:pStyle w:val="NoSpacing"/>
        <w:numPr>
          <w:ilvl w:val="0"/>
          <w:numId w:val="2"/>
        </w:numPr>
      </w:pPr>
      <w:r>
        <w:t>PEOs have infrastructure to better answer employee concerns and manage cases, lifting that burden from your HR team.</w:t>
      </w:r>
    </w:p>
    <w:p w14:paraId="050789CA" w14:textId="77777777" w:rsidR="008F5204" w:rsidRDefault="008F5204" w:rsidP="008F5204">
      <w:pPr>
        <w:pStyle w:val="NoSpacing"/>
      </w:pPr>
    </w:p>
    <w:p w14:paraId="2F941846" w14:textId="4EEA1028" w:rsidR="008F5204" w:rsidRDefault="008F5204" w:rsidP="008F5204">
      <w:pPr>
        <w:pStyle w:val="NoSpacing"/>
      </w:pPr>
      <w:r>
        <w:t>And remember, whatever decisions you make to try to control the impact of rising rates must be done quickly. The trigger date will be January 1, 2021, as the new year begins, so you should have these decisions in place before the end of the year.</w:t>
      </w:r>
    </w:p>
    <w:p w14:paraId="047A9F62" w14:textId="6F4125B3" w:rsidR="00DD2CFA" w:rsidRDefault="00DD2CFA" w:rsidP="008F5204">
      <w:pPr>
        <w:pStyle w:val="NoSpacing"/>
      </w:pPr>
    </w:p>
    <w:p w14:paraId="31503F96" w14:textId="316F686A" w:rsidR="00DD2CFA" w:rsidRPr="00DD2CFA" w:rsidRDefault="00DD2CFA" w:rsidP="008F5204">
      <w:pPr>
        <w:pStyle w:val="NoSpacing"/>
        <w:rPr>
          <w:b/>
          <w:bCs/>
        </w:rPr>
      </w:pPr>
      <w:r w:rsidRPr="00DD2CFA">
        <w:rPr>
          <w:b/>
          <w:bCs/>
        </w:rPr>
        <w:t>The trigger date will be January 1, 2021, as the new year begins, so you should have these decisions in place before the end of the year.</w:t>
      </w:r>
    </w:p>
    <w:p w14:paraId="1683BD42" w14:textId="57004A91" w:rsidR="008F5204" w:rsidRDefault="008F5204" w:rsidP="008F5204">
      <w:pPr>
        <w:pStyle w:val="NoSpacing"/>
      </w:pPr>
    </w:p>
    <w:p w14:paraId="3F8516CD" w14:textId="77777777" w:rsidR="008F5204" w:rsidRDefault="008F5204" w:rsidP="008F5204">
      <w:pPr>
        <w:pStyle w:val="CallOutQuote"/>
      </w:pPr>
      <w:r>
        <w:t>Rehiring and Recovery</w:t>
      </w:r>
    </w:p>
    <w:p w14:paraId="6FC88AC4" w14:textId="77777777" w:rsidR="008F5204" w:rsidRDefault="008F5204" w:rsidP="008F5204">
      <w:pPr>
        <w:pStyle w:val="NoSpacing"/>
      </w:pPr>
    </w:p>
    <w:p w14:paraId="7B80684D" w14:textId="77777777" w:rsidR="008F5204" w:rsidRDefault="008F5204" w:rsidP="008F5204">
      <w:pPr>
        <w:pStyle w:val="NoSpacing"/>
      </w:pPr>
      <w:r>
        <w:t xml:space="preserve">Though the short-term effects of the COVID crisis have been volatile, it’s important to think long-term in your decision-making. We entered 2020 in a tight labor market, and workforce demographics haven’t changed. Though it may be difficult to envision, we will surely be in a talent crunch again once the crisis finally subsides. </w:t>
      </w:r>
    </w:p>
    <w:p w14:paraId="42F99F73" w14:textId="77777777" w:rsidR="008F5204" w:rsidRDefault="008F5204" w:rsidP="008F5204">
      <w:pPr>
        <w:pStyle w:val="NoSpacing"/>
      </w:pPr>
    </w:p>
    <w:p w14:paraId="082E4FC8" w14:textId="14E57D03" w:rsidR="008F5204" w:rsidRPr="008F5204" w:rsidRDefault="008F5204" w:rsidP="008F5204">
      <w:pPr>
        <w:pStyle w:val="NoSpacing"/>
        <w:rPr>
          <w:b/>
          <w:bCs/>
        </w:rPr>
      </w:pPr>
      <w:r w:rsidRPr="008F5204">
        <w:rPr>
          <w:b/>
          <w:bCs/>
        </w:rPr>
        <w:t>How will you handle workforce reduction in a way that ensures your survival, but also preserves your employer brand and makes employees want to return to your company when you are growing again?</w:t>
      </w:r>
    </w:p>
    <w:p w14:paraId="6F43038A" w14:textId="77777777" w:rsidR="008F5204" w:rsidRDefault="008F5204" w:rsidP="008F5204">
      <w:pPr>
        <w:pStyle w:val="NoSpacing"/>
      </w:pPr>
    </w:p>
    <w:p w14:paraId="73B75E3B" w14:textId="7D66E3ED" w:rsidR="008F5204" w:rsidRDefault="008F5204" w:rsidP="008F5204">
      <w:pPr>
        <w:pStyle w:val="NoSpacing"/>
        <w:ind w:left="720"/>
      </w:pPr>
      <w:r>
        <w:t>As long as the pandemic continues—likely into 2021—one consideration will be around safety, and ensuring you provide the processes and infrastructure needed to assure workers they are safe to return to work—in whatever capacity you determine most effective.</w:t>
      </w:r>
    </w:p>
    <w:p w14:paraId="10B77F5C" w14:textId="77777777" w:rsidR="008F5204" w:rsidRDefault="008F5204" w:rsidP="008F5204">
      <w:pPr>
        <w:pStyle w:val="NoSpacing"/>
        <w:ind w:left="720"/>
      </w:pPr>
    </w:p>
    <w:p w14:paraId="5CA6EE93" w14:textId="2C5695A4" w:rsidR="008F5204" w:rsidRDefault="008F5204" w:rsidP="008F5204">
      <w:pPr>
        <w:pStyle w:val="NoSpacing"/>
        <w:ind w:left="720"/>
      </w:pPr>
      <w:r>
        <w:t xml:space="preserve">Another element to consider is how workforce reduction and your total rewards packages will impact your workforce re-expansion. In the 2008 financial crisis, unemployment benefits were extended to 99 weeks. </w:t>
      </w:r>
    </w:p>
    <w:p w14:paraId="06AB1541" w14:textId="77777777" w:rsidR="008F5204" w:rsidRDefault="008F5204" w:rsidP="008F5204">
      <w:pPr>
        <w:pStyle w:val="NoSpacing"/>
        <w:ind w:left="720"/>
      </w:pPr>
    </w:p>
    <w:p w14:paraId="0B1B6209" w14:textId="78EBBC7E" w:rsidR="008F5204" w:rsidRPr="008F5204" w:rsidRDefault="008F5204" w:rsidP="008F5204">
      <w:pPr>
        <w:pStyle w:val="NoSpacing"/>
        <w:rPr>
          <w:b/>
          <w:bCs/>
        </w:rPr>
      </w:pPr>
      <w:r w:rsidRPr="008F5204">
        <w:rPr>
          <w:b/>
          <w:bCs/>
        </w:rPr>
        <w:t>If you have lower wage employees, would laying them off risk disincentivizing them from seeking work until their eligibility runs out? Will it be harder for you to find new lower wage workers if they stay home because it’s more lucrative than your offer?</w:t>
      </w:r>
    </w:p>
    <w:p w14:paraId="7BF1981D" w14:textId="77777777" w:rsidR="008F5204" w:rsidRDefault="008F5204" w:rsidP="008F5204">
      <w:pPr>
        <w:pStyle w:val="NoSpacing"/>
      </w:pPr>
    </w:p>
    <w:p w14:paraId="348CA493" w14:textId="6C5B0C3E" w:rsidR="008F5204" w:rsidRDefault="008F5204" w:rsidP="008F5204">
      <w:pPr>
        <w:pStyle w:val="NoSpacing"/>
        <w:ind w:left="720"/>
      </w:pPr>
      <w:r>
        <w:t xml:space="preserve">You will also want to track and document carefully as you lay off workers, so that you can address unemployment claims for any employees who might refuse your offer to </w:t>
      </w:r>
      <w:r>
        <w:lastRenderedPageBreak/>
        <w:t>return to work. Again, this is a place where a PEO can reduce the burden on your organization and help to mitigate the financial impact of invalid claims.</w:t>
      </w:r>
    </w:p>
    <w:p w14:paraId="15CB1E50" w14:textId="77777777" w:rsidR="008F5204" w:rsidRDefault="008F5204" w:rsidP="008F5204">
      <w:pPr>
        <w:pStyle w:val="NoSpacing"/>
      </w:pPr>
    </w:p>
    <w:p w14:paraId="4139825B" w14:textId="5C12D149" w:rsidR="008F5204" w:rsidRDefault="008F5204" w:rsidP="008F5204">
      <w:pPr>
        <w:pStyle w:val="NoSpacing"/>
      </w:pPr>
      <w:r>
        <w:t>Though the brunt of the unemployment insurance and workers compensation tax hikes will be felt by April 30, 2021, working with a PEO is a good long</w:t>
      </w:r>
      <w:r w:rsidR="00DD2CFA">
        <w:t>-</w:t>
      </w:r>
      <w:r>
        <w:t>term strategy for recovery and beyond. There are likely to be additional increases and a long tail for the financial impact on unemployment funds, depending on the length of the crisis and the volume of claims. Most businesses will feel the reverberations of the COVID event in their rates for the next two to three years at least.</w:t>
      </w:r>
    </w:p>
    <w:p w14:paraId="3DA439DD" w14:textId="604CA2EF" w:rsidR="008F5204" w:rsidRDefault="008F5204" w:rsidP="008F5204">
      <w:pPr>
        <w:pStyle w:val="NoSpacing"/>
      </w:pPr>
    </w:p>
    <w:p w14:paraId="11B9617F" w14:textId="77777777" w:rsidR="008F5204" w:rsidRDefault="008F5204" w:rsidP="008F5204">
      <w:pPr>
        <w:pStyle w:val="CallOutQuote"/>
      </w:pPr>
      <w:r>
        <w:t>Health Insurance, COBRA and other Benefits</w:t>
      </w:r>
    </w:p>
    <w:p w14:paraId="0FDE05A7" w14:textId="77777777" w:rsidR="008F5204" w:rsidRDefault="008F5204" w:rsidP="008F5204">
      <w:pPr>
        <w:pStyle w:val="NoSpacing"/>
      </w:pPr>
    </w:p>
    <w:p w14:paraId="538B9A34" w14:textId="77777777" w:rsidR="008F5204" w:rsidRDefault="008F5204" w:rsidP="008F5204">
      <w:pPr>
        <w:pStyle w:val="NoSpacing"/>
      </w:pPr>
      <w:r>
        <w:t>COVID-19 is first and foremost a health crisis, and that means we can expect that health insurance rates are going to go up. In years past, health insurance rates have increased by an average of 5-8% per year. You can expect that to rise next year—possibly to 7-10%, or higher.</w:t>
      </w:r>
    </w:p>
    <w:p w14:paraId="2DA7A21F" w14:textId="77777777" w:rsidR="008F5204" w:rsidRDefault="008F5204" w:rsidP="008F5204">
      <w:pPr>
        <w:pStyle w:val="NoSpacing"/>
      </w:pPr>
      <w:r>
        <w:t xml:space="preserve">Health insurance is not a place where most employers can easily mitigate costs, so it is worth considering benefit and healthcare strategies to drive overall premiums down, including expansion for telemedicine coverage. </w:t>
      </w:r>
    </w:p>
    <w:p w14:paraId="227731DB" w14:textId="77777777" w:rsidR="008F5204" w:rsidRDefault="008F5204" w:rsidP="008F5204">
      <w:pPr>
        <w:pStyle w:val="NoSpacing"/>
      </w:pPr>
    </w:p>
    <w:p w14:paraId="130341F3" w14:textId="411374DE" w:rsidR="008F5204" w:rsidRDefault="008F5204" w:rsidP="008F5204">
      <w:pPr>
        <w:pStyle w:val="NoSpacing"/>
      </w:pPr>
      <w:r>
        <w:t>Another option is to work with a PEO to lower costs at scale. This will keep you compliant with ACA guidelines but sidestep the complexities of any annual contracts you might be locked into. It will also allow you access to larger risk pools and lower rates that PEOs are able to negotiate—not only for health insurance but for a wide range of benefits.</w:t>
      </w:r>
    </w:p>
    <w:p w14:paraId="3201FA72" w14:textId="77777777" w:rsidR="008F5204" w:rsidRDefault="008F5204" w:rsidP="008F5204">
      <w:pPr>
        <w:pStyle w:val="NoSpacing"/>
      </w:pPr>
    </w:p>
    <w:p w14:paraId="7F05D413" w14:textId="58F3C0CC" w:rsidR="008F5204" w:rsidRDefault="008F5204" w:rsidP="008F5204">
      <w:pPr>
        <w:pStyle w:val="NoSpacing"/>
      </w:pPr>
      <w:r w:rsidRPr="008F5204">
        <w:rPr>
          <w:b/>
          <w:bCs/>
        </w:rPr>
        <w:t>If you have already laid off workers, or believe you will have to do so, you will also need to understand your responsibilities around COBRA benefits.</w:t>
      </w:r>
      <w:r>
        <w:t xml:space="preserve"> While you do not have to pay for COBRA, it is still a complex regulatory burden for small and medium-sized businesses.</w:t>
      </w:r>
      <w:r w:rsidR="00DD2CFA">
        <w:t xml:space="preserve"> </w:t>
      </w:r>
      <w:proofErr w:type="gramStart"/>
      <w:r>
        <w:t>There</w:t>
      </w:r>
      <w:proofErr w:type="gramEnd"/>
      <w:r>
        <w:t xml:space="preserve"> are many regulations governing notifications, and you must respond to claims in a time-sensitive way. </w:t>
      </w:r>
    </w:p>
    <w:p w14:paraId="7BAD9C72" w14:textId="77777777" w:rsidR="008F5204" w:rsidRDefault="008F5204" w:rsidP="008F5204">
      <w:pPr>
        <w:pStyle w:val="NoSpacing"/>
      </w:pPr>
    </w:p>
    <w:p w14:paraId="230BC942" w14:textId="16349E67" w:rsidR="008F5204" w:rsidRDefault="008F5204" w:rsidP="008F5204">
      <w:pPr>
        <w:pStyle w:val="NoSpacing"/>
      </w:pPr>
      <w:r>
        <w:t xml:space="preserve">It’s important to realize that employees taking COBRA will remain in your risk pool until they find a </w:t>
      </w:r>
    </w:p>
    <w:p w14:paraId="1DA5E413" w14:textId="10F1B079" w:rsidR="008F5204" w:rsidRDefault="008F5204" w:rsidP="008F5204">
      <w:pPr>
        <w:pStyle w:val="NoSpacing"/>
      </w:pPr>
      <w:r>
        <w:t xml:space="preserve">new healthcare option. COBRA is costly, and workers tend to most often take it when they really need it—meaning you will be keeping the most high-risk of employees in your risk pool, which may increase future rates—something especially worrying in the age of COVID-19. </w:t>
      </w:r>
    </w:p>
    <w:p w14:paraId="18CB0F37" w14:textId="77777777" w:rsidR="008F5204" w:rsidRDefault="008F5204" w:rsidP="008F5204">
      <w:pPr>
        <w:pStyle w:val="NoSpacing"/>
      </w:pPr>
    </w:p>
    <w:p w14:paraId="002B7A75" w14:textId="4E57C91C" w:rsidR="008F5204" w:rsidRDefault="008F5204" w:rsidP="008F5204">
      <w:pPr>
        <w:pStyle w:val="NoSpacing"/>
      </w:pPr>
      <w:r>
        <w:t xml:space="preserve">This is another area where outsourcing administration to a PEO can save you time and legal risk, as they have larger pools and can better absorb high-risk former employees. They also have a depth of knowledge for you to draw on with regard to employee notifications and support. </w:t>
      </w:r>
    </w:p>
    <w:p w14:paraId="771387E2" w14:textId="51C063CB" w:rsidR="008F5204" w:rsidRDefault="008F5204" w:rsidP="008F5204">
      <w:pPr>
        <w:pStyle w:val="NoSpacing"/>
      </w:pPr>
      <w:r>
        <w:t>This expertise extends to the suspension of other benefits, like 401ks, which carry many complications and regulatory requirements.</w:t>
      </w:r>
    </w:p>
    <w:p w14:paraId="5CC1364A" w14:textId="7B4CA306" w:rsidR="008F5204" w:rsidRDefault="008F5204" w:rsidP="008F5204">
      <w:pPr>
        <w:pStyle w:val="NoSpacing"/>
      </w:pPr>
    </w:p>
    <w:p w14:paraId="13B72FF3" w14:textId="77777777" w:rsidR="008F5204" w:rsidRDefault="008F5204" w:rsidP="008F5204">
      <w:pPr>
        <w:pStyle w:val="CallOutQuote"/>
      </w:pPr>
      <w:r>
        <w:t>Finding the Right Path Forward</w:t>
      </w:r>
    </w:p>
    <w:p w14:paraId="75B73BEA" w14:textId="77777777" w:rsidR="008F5204" w:rsidRDefault="008F5204" w:rsidP="008F5204">
      <w:pPr>
        <w:pStyle w:val="NoSpacing"/>
      </w:pPr>
    </w:p>
    <w:p w14:paraId="11827A85" w14:textId="4A048723" w:rsidR="008F5204" w:rsidRDefault="008F5204" w:rsidP="008F5204">
      <w:pPr>
        <w:pStyle w:val="NoSpacing"/>
      </w:pPr>
      <w:r>
        <w:t xml:space="preserve">No matter how you look at it, managing the impact of 2020 will be complicated and costly for businesses. But it’s clear that the businesses who get good advice will be the most likely to survive with a minimum impact. The best advice we can offer is to work with advisors to be as prepared as possible for </w:t>
      </w:r>
      <w:proofErr w:type="gramStart"/>
      <w:r>
        <w:t>2021,</w:t>
      </w:r>
      <w:r>
        <w:t xml:space="preserve"> </w:t>
      </w:r>
      <w:r>
        <w:t>and</w:t>
      </w:r>
      <w:proofErr w:type="gramEnd"/>
      <w:r>
        <w:t xml:space="preserve"> know which levers you can pull to lower costs and protect both employees and your own bottom line.    </w:t>
      </w:r>
    </w:p>
    <w:p w14:paraId="4C4D497A" w14:textId="77777777" w:rsidR="008F5204" w:rsidRDefault="008F5204" w:rsidP="008F5204">
      <w:pPr>
        <w:pStyle w:val="NoSpacing"/>
      </w:pPr>
    </w:p>
    <w:p w14:paraId="46171DD5" w14:textId="2AC114F2" w:rsidR="008F5204" w:rsidRPr="000F2FFC" w:rsidRDefault="008F5204" w:rsidP="008F5204">
      <w:pPr>
        <w:pStyle w:val="NoSpacing"/>
      </w:pPr>
      <w:r>
        <w:lastRenderedPageBreak/>
        <w:t>Even if you’ve never thought of your company as a good candidate to work with a PEO, this is a good time to talk with one to see what your options are, and how they might help you to sidestep the coming rate tsunami.</w:t>
      </w:r>
    </w:p>
    <w:sectPr w:rsidR="008F5204" w:rsidRPr="000F2FFC" w:rsidSect="003C5E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5074A" w14:textId="77777777" w:rsidR="00866429" w:rsidRDefault="00866429" w:rsidP="00E94503">
      <w:pPr>
        <w:spacing w:after="0" w:line="240" w:lineRule="auto"/>
      </w:pPr>
      <w:r>
        <w:separator/>
      </w:r>
    </w:p>
  </w:endnote>
  <w:endnote w:type="continuationSeparator" w:id="0">
    <w:p w14:paraId="0DDE1054" w14:textId="77777777" w:rsidR="00866429" w:rsidRDefault="00866429" w:rsidP="00E9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F4E4" w14:textId="7307F47E" w:rsidR="00E94503" w:rsidRPr="007A666E" w:rsidRDefault="00E94503" w:rsidP="007A666E">
    <w:pPr>
      <w:pStyle w:val="Footer"/>
      <w:rPr>
        <w:color w:val="3B57A1"/>
      </w:rPr>
    </w:pPr>
    <w:r w:rsidRPr="007A666E">
      <w:rPr>
        <w:b/>
        <w:bCs/>
        <w:noProof/>
        <w:color w:val="3B57A1"/>
      </w:rPr>
      <w:drawing>
        <wp:anchor distT="0" distB="0" distL="114300" distR="114300" simplePos="0" relativeHeight="251658240" behindDoc="0" locked="0" layoutInCell="1" allowOverlap="1" wp14:anchorId="59418DFA" wp14:editId="432FEEBB">
          <wp:simplePos x="0" y="0"/>
          <wp:positionH relativeFrom="column">
            <wp:posOffset>4638675</wp:posOffset>
          </wp:positionH>
          <wp:positionV relativeFrom="paragraph">
            <wp:posOffset>635</wp:posOffset>
          </wp:positionV>
          <wp:extent cx="1370965" cy="266700"/>
          <wp:effectExtent l="0" t="0" r="63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7046" b="14758"/>
                  <a:stretch/>
                </pic:blipFill>
                <pic:spPr bwMode="auto">
                  <a:xfrm>
                    <a:off x="0" y="0"/>
                    <a:ext cx="1370965"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66E" w:rsidRPr="007A666E">
      <w:rPr>
        <w:b/>
        <w:bCs/>
        <w:color w:val="3B57A1"/>
      </w:rPr>
      <w:t>Name of Company</w:t>
    </w:r>
    <w:r w:rsidR="007A666E" w:rsidRPr="007A666E">
      <w:rPr>
        <w:color w:val="3B57A1"/>
      </w:rPr>
      <w:t xml:space="preserve"> | 123-456-7591 | www.yoururl.com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358AB" w14:textId="77777777" w:rsidR="00866429" w:rsidRDefault="00866429" w:rsidP="00E94503">
      <w:pPr>
        <w:spacing w:after="0" w:line="240" w:lineRule="auto"/>
      </w:pPr>
      <w:r>
        <w:separator/>
      </w:r>
    </w:p>
  </w:footnote>
  <w:footnote w:type="continuationSeparator" w:id="0">
    <w:p w14:paraId="6AECA64F" w14:textId="77777777" w:rsidR="00866429" w:rsidRDefault="00866429" w:rsidP="00E9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688E" w14:textId="2ED6A88E" w:rsidR="007A666E" w:rsidRDefault="007A666E">
    <w:pPr>
      <w:pStyle w:val="Header"/>
    </w:pPr>
    <w:r>
      <w:rPr>
        <w:noProof/>
      </w:rPr>
      <mc:AlternateContent>
        <mc:Choice Requires="wpg">
          <w:drawing>
            <wp:anchor distT="0" distB="0" distL="114300" distR="114300" simplePos="0" relativeHeight="251660288" behindDoc="0" locked="0" layoutInCell="1" allowOverlap="1" wp14:anchorId="7C0D247A" wp14:editId="12F2F480">
              <wp:simplePos x="0" y="0"/>
              <wp:positionH relativeFrom="margin">
                <wp:posOffset>0</wp:posOffset>
              </wp:positionH>
              <wp:positionV relativeFrom="paragraph">
                <wp:posOffset>-199360</wp:posOffset>
              </wp:positionV>
              <wp:extent cx="1562100" cy="438785"/>
              <wp:effectExtent l="0" t="0" r="0" b="5715"/>
              <wp:wrapTopAndBottom/>
              <wp:docPr id="10" name="Group 10"/>
              <wp:cNvGraphicFramePr/>
              <a:graphic xmlns:a="http://schemas.openxmlformats.org/drawingml/2006/main">
                <a:graphicData uri="http://schemas.microsoft.com/office/word/2010/wordprocessingGroup">
                  <wpg:wgp>
                    <wpg:cNvGrpSpPr/>
                    <wpg:grpSpPr>
                      <a:xfrm>
                        <a:off x="0" y="0"/>
                        <a:ext cx="1562100" cy="438785"/>
                        <a:chOff x="0" y="0"/>
                        <a:chExt cx="5972175" cy="1914525"/>
                      </a:xfrm>
                    </wpg:grpSpPr>
                    <wps:wsp>
                      <wps:cNvPr id="11" name="Rectangle 11"/>
                      <wps:cNvSpPr/>
                      <wps:spPr>
                        <a:xfrm>
                          <a:off x="0" y="0"/>
                          <a:ext cx="5972175" cy="1914525"/>
                        </a:xfrm>
                        <a:prstGeom prst="rect">
                          <a:avLst/>
                        </a:prstGeom>
                        <a:solidFill>
                          <a:srgbClr val="E7E8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27741" y="379711"/>
                          <a:ext cx="5025367" cy="1313161"/>
                        </a:xfrm>
                        <a:prstGeom prst="rect">
                          <a:avLst/>
                        </a:prstGeom>
                        <a:noFill/>
                        <a:ln w="6350">
                          <a:noFill/>
                        </a:ln>
                      </wps:spPr>
                      <wps:txbx>
                        <w:txbxContent>
                          <w:p w14:paraId="0FCBAB5A" w14:textId="77777777" w:rsidR="007A666E" w:rsidRDefault="007A666E" w:rsidP="007A666E">
                            <w:r>
                              <w:t>Replace with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0D247A" id="Group 10" o:spid="_x0000_s1026" style="position:absolute;margin-left:0;margin-top:-15.7pt;width:123pt;height:34.55pt;z-index:251660288;mso-position-horizontal-relative:margin;mso-width-relative:margin;mso-height-relative:margin" coordsize="59721,19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">
              <v:rect id="Rectangle 11" o:spid="_x0000_s1027" style="position:absolute;width:59721;height:19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" fillcolor="#e7e8e9" stroked="f" strokeweight="1pt"/>
              <v:shapetype id="_x0000_t202" coordsize="21600,21600" o:spt="202" path="m,l,21600r21600,l21600,xe">
                <v:stroke joinstyle="miter"/>
                <v:path gradientshapeok="t" o:connecttype="rect"/>
              </v:shapetype>
              <v:shape id="Text Box 12" o:spid="_x0000_s1028" type="#_x0000_t202" style="position:absolute;left:3277;top:3797;width:50254;height:131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" filled="f" stroked="f" strokeweight=".5pt">
                <v:textbox>
                  <w:txbxContent>
                    <w:p w14:paraId="0FCBAB5A" w14:textId="77777777" w:rsidR="007A666E" w:rsidRDefault="007A666E" w:rsidP="007A666E">
                      <w:r>
                        <w:t>Replace with logo</w:t>
                      </w:r>
                    </w:p>
                  </w:txbxContent>
                </v:textbox>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B1181"/>
    <w:multiLevelType w:val="hybridMultilevel"/>
    <w:tmpl w:val="4C7A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E6B72"/>
    <w:multiLevelType w:val="hybridMultilevel"/>
    <w:tmpl w:val="8326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FC"/>
    <w:rsid w:val="00082BAC"/>
    <w:rsid w:val="000F2FFC"/>
    <w:rsid w:val="00200266"/>
    <w:rsid w:val="002F13DE"/>
    <w:rsid w:val="003C1062"/>
    <w:rsid w:val="003C5EF8"/>
    <w:rsid w:val="0043000A"/>
    <w:rsid w:val="0047430F"/>
    <w:rsid w:val="006971E9"/>
    <w:rsid w:val="007A666E"/>
    <w:rsid w:val="00866429"/>
    <w:rsid w:val="008F5204"/>
    <w:rsid w:val="0090346D"/>
    <w:rsid w:val="00B543A9"/>
    <w:rsid w:val="00BC7788"/>
    <w:rsid w:val="00CA49EE"/>
    <w:rsid w:val="00DD2CFA"/>
    <w:rsid w:val="00E94503"/>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B248"/>
  <w15:chartTrackingRefBased/>
  <w15:docId w15:val="{C65227E5-35FE-449A-A722-89FC4F6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FC"/>
    <w:rPr>
      <w:rFonts w:ascii="Century Gothic" w:hAnsi="Century Gothic"/>
      <w:color w:val="63666A"/>
      <w:sz w:val="20"/>
      <w:szCs w:val="20"/>
    </w:rPr>
  </w:style>
  <w:style w:type="paragraph" w:styleId="Heading1">
    <w:name w:val="heading 1"/>
    <w:basedOn w:val="Normal"/>
    <w:next w:val="Normal"/>
    <w:link w:val="Heading1Char"/>
    <w:uiPriority w:val="9"/>
    <w:qFormat/>
    <w:rsid w:val="000F2FFC"/>
    <w:pPr>
      <w:jc w:val="center"/>
      <w:outlineLvl w:val="0"/>
    </w:pPr>
    <w:rPr>
      <w:rFonts w:cs="Arial"/>
      <w:b/>
      <w:bCs/>
      <w:noProof/>
      <w:color w:val="FFFFFF" w:themeColor="background1"/>
      <w:sz w:val="44"/>
      <w:szCs w:val="44"/>
    </w:rPr>
  </w:style>
  <w:style w:type="paragraph" w:styleId="Heading2">
    <w:name w:val="heading 2"/>
    <w:basedOn w:val="NormalWeb"/>
    <w:next w:val="Normal"/>
    <w:link w:val="Heading2Char"/>
    <w:uiPriority w:val="9"/>
    <w:unhideWhenUsed/>
    <w:qFormat/>
    <w:rsid w:val="000F2FFC"/>
    <w:pPr>
      <w:jc w:val="center"/>
      <w:outlineLvl w:val="1"/>
    </w:pPr>
    <w:rPr>
      <w:rFonts w:ascii="Century Gothic" w:hAnsi="Century Gothic"/>
      <w:color w:val="FFFFFF" w:themeColor="background1"/>
    </w:rPr>
  </w:style>
  <w:style w:type="paragraph" w:styleId="Heading3">
    <w:name w:val="heading 3"/>
    <w:basedOn w:val="Normal"/>
    <w:next w:val="Normal"/>
    <w:link w:val="Heading3Char"/>
    <w:uiPriority w:val="9"/>
    <w:unhideWhenUsed/>
    <w:qFormat/>
    <w:rsid w:val="00B543A9"/>
    <w:pPr>
      <w:keepNext/>
      <w:keepLines/>
      <w:spacing w:before="40" w:after="0" w:line="240" w:lineRule="auto"/>
      <w:outlineLvl w:val="2"/>
    </w:pPr>
    <w:rPr>
      <w:rFonts w:eastAsia="Times New Roman" w:cstheme="majorBidi"/>
      <w:b/>
      <w:bCs/>
      <w:color w:val="3C57A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FC"/>
    <w:rPr>
      <w:rFonts w:ascii="Century Gothic" w:hAnsi="Century Gothic" w:cs="Arial"/>
      <w:b/>
      <w:bCs/>
      <w:noProof/>
      <w:color w:val="FFFFFF" w:themeColor="background1"/>
      <w:sz w:val="44"/>
      <w:szCs w:val="44"/>
    </w:rPr>
  </w:style>
  <w:style w:type="paragraph" w:styleId="NormalWeb">
    <w:name w:val="Normal (Web)"/>
    <w:basedOn w:val="Normal"/>
    <w:uiPriority w:val="99"/>
    <w:unhideWhenUsed/>
    <w:rsid w:val="000F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2FFC"/>
    <w:rPr>
      <w:rFonts w:ascii="Century Gothic" w:eastAsia="Times New Roman" w:hAnsi="Century Gothic" w:cs="Times New Roman"/>
      <w:color w:val="FFFFFF" w:themeColor="background1"/>
      <w:sz w:val="24"/>
      <w:szCs w:val="24"/>
    </w:rPr>
  </w:style>
  <w:style w:type="paragraph" w:styleId="NoSpacing">
    <w:name w:val="No Spacing"/>
    <w:uiPriority w:val="1"/>
    <w:qFormat/>
    <w:rsid w:val="000F2FFC"/>
    <w:pPr>
      <w:spacing w:after="0" w:line="240" w:lineRule="auto"/>
    </w:pPr>
    <w:rPr>
      <w:rFonts w:ascii="Century Gothic" w:hAnsi="Century Gothic"/>
      <w:color w:val="63666A"/>
      <w:sz w:val="20"/>
      <w:szCs w:val="20"/>
    </w:rPr>
  </w:style>
  <w:style w:type="table" w:styleId="TableGrid">
    <w:name w:val="Table Grid"/>
    <w:basedOn w:val="TableNormal"/>
    <w:uiPriority w:val="39"/>
    <w:rsid w:val="0047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43A9"/>
    <w:rPr>
      <w:rFonts w:ascii="Century Gothic" w:eastAsia="Times New Roman" w:hAnsi="Century Gothic" w:cstheme="majorBidi"/>
      <w:b/>
      <w:bCs/>
      <w:color w:val="3C57A1"/>
      <w:sz w:val="24"/>
      <w:szCs w:val="24"/>
    </w:rPr>
  </w:style>
  <w:style w:type="paragraph" w:styleId="Header">
    <w:name w:val="header"/>
    <w:basedOn w:val="Normal"/>
    <w:link w:val="HeaderChar"/>
    <w:uiPriority w:val="99"/>
    <w:unhideWhenUsed/>
    <w:rsid w:val="00E9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03"/>
    <w:rPr>
      <w:rFonts w:ascii="Century Gothic" w:hAnsi="Century Gothic"/>
      <w:color w:val="63666A"/>
      <w:sz w:val="20"/>
      <w:szCs w:val="20"/>
    </w:rPr>
  </w:style>
  <w:style w:type="paragraph" w:styleId="Footer">
    <w:name w:val="footer"/>
    <w:basedOn w:val="Normal"/>
    <w:link w:val="FooterChar"/>
    <w:uiPriority w:val="99"/>
    <w:unhideWhenUsed/>
    <w:rsid w:val="00E9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03"/>
    <w:rPr>
      <w:rFonts w:ascii="Century Gothic" w:hAnsi="Century Gothic"/>
      <w:color w:val="63666A"/>
      <w:sz w:val="20"/>
      <w:szCs w:val="20"/>
    </w:rPr>
  </w:style>
  <w:style w:type="paragraph" w:customStyle="1" w:styleId="CallOutQuote">
    <w:name w:val="Call Out/Quote"/>
    <w:basedOn w:val="Heading3"/>
    <w:qFormat/>
    <w:rsid w:val="003C5EF8"/>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9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1A019-F4FD-E840-A572-D9C9C64D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Doughty</dc:creator>
  <cp:keywords/>
  <dc:description/>
  <cp:lastModifiedBy>Ken Paetzold</cp:lastModifiedBy>
  <cp:revision>2</cp:revision>
  <dcterms:created xsi:type="dcterms:W3CDTF">2020-06-26T16:03:00Z</dcterms:created>
  <dcterms:modified xsi:type="dcterms:W3CDTF">2020-06-26T16:03:00Z</dcterms:modified>
</cp:coreProperties>
</file>