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B623A" w14:textId="42D1AD88" w:rsidR="00AE6B5A" w:rsidRDefault="007A666E" w:rsidP="00AE6B5A">
      <w:pPr>
        <w:pStyle w:val="Heading1"/>
        <w:spacing w:after="0"/>
      </w:pPr>
      <w:r w:rsidRPr="000F2FFC">
        <mc:AlternateContent>
          <mc:Choice Requires="wps">
            <w:drawing>
              <wp:anchor distT="0" distB="0" distL="114300" distR="114300" simplePos="0" relativeHeight="251658240" behindDoc="1" locked="0" layoutInCell="1" allowOverlap="1" wp14:anchorId="5AE51314" wp14:editId="1F1AAD16">
                <wp:simplePos x="0" y="0"/>
                <wp:positionH relativeFrom="page">
                  <wp:posOffset>-22428</wp:posOffset>
                </wp:positionH>
                <wp:positionV relativeFrom="paragraph">
                  <wp:posOffset>-311785</wp:posOffset>
                </wp:positionV>
                <wp:extent cx="7753350" cy="1768475"/>
                <wp:effectExtent l="0" t="0" r="6350" b="0"/>
                <wp:wrapNone/>
                <wp:docPr id="1" name="Rectangle 1"/>
                <wp:cNvGraphicFramePr/>
                <a:graphic xmlns:a="http://schemas.openxmlformats.org/drawingml/2006/main">
                  <a:graphicData uri="http://schemas.microsoft.com/office/word/2010/wordprocessingShape">
                    <wps:wsp>
                      <wps:cNvSpPr/>
                      <wps:spPr>
                        <a:xfrm>
                          <a:off x="0" y="0"/>
                          <a:ext cx="7753350" cy="1768475"/>
                        </a:xfrm>
                        <a:prstGeom prst="rect">
                          <a:avLst/>
                        </a:prstGeom>
                        <a:solidFill>
                          <a:srgbClr val="3C57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92851" id="Rectangle 1" o:spid="_x0000_s1026" style="position:absolute;margin-left:-1.75pt;margin-top:-24.55pt;width:610.5pt;height:139.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wz6lAIAAIYFAAAOAAAAZHJzL2Uyb0RvYy54bWysVE1v2zAMvQ/YfxB0X53PpgvqFEGKDAOK&#13;&#10;tmg79KzIUmxAFjVKiZP9+lGy43ZtscOwHBTRJB/JJ5KXV4fasL1CX4HN+fBswJmyEorKbnP+42n9&#13;&#10;5YIzH4QthAGrcn5Unl8tPn+6bNxcjaAEUyhkBGL9vHE5L0Nw8yzzslS18GfglCWlBqxFIBG3WYGi&#13;&#10;IfTaZKPB4DxrAAuHIJX39PW6VfJFwtdayXCntVeBmZxTbiGdmM5NPLPFpZhvUbiykl0a4h+yqEVl&#13;&#10;KWgPdS2CYDus3kHVlUTwoMOZhDoDrSupUg1UzXDwpprHUjiVaiFyvOtp8v8PVt7u75FVBb0dZ1bU&#13;&#10;9EQPRJqwW6PYMNLTOD8nq0d3j53k6RprPWis4z9VwQ6J0mNPqToEJunjbDYdj6fEvCTdcHZ+MZlN&#13;&#10;I2r24u7Qh28KahYvOUcKn6gU+xsfWtOTSYzmwVTFujImCbjdrAyyvaD3Ha+ms2XKmdD/MDM2GluI&#13;&#10;bi1i/JLF0tpi0i0cjYp2xj4oTZxQ+qOUSepG1ccRUiobhq2qFIVqw08H9Otq6z1SpQkwImuK32N3&#13;&#10;ALHT32O3WXb20VWlZu6dB39LrHXuPVJksKF3risL+BGAoaq6yK39iaSWmsjSBoojdQxCO0reyXVF&#13;&#10;73YjfLgXSLNDb037INzRoQ00OYfuxlkJ+Ouj79GeWpq0nDU0izn3P3cCFWfmu6Vm/zqcTOLwJmEy&#13;&#10;nY1IwNeazWuN3dUroHaghqbs0jXaB3O6aoT6mdbGMkYllbCSYudcBjwJq9DuCFo8Ui2XyYwG1olw&#13;&#10;Yx+djOCR1diXT4dnga5r3kB9fwunuRXzNz3c2kZPC8tdAF2lBn/hteObhj01TreY4jZ5LSerl/W5&#13;&#10;+A0AAP//AwBQSwMEFAAGAAgAAAAhAHWmhXfjAAAAEAEAAA8AAABkcnMvZG93bnJldi54bWxMT01P&#13;&#10;wzAMvSPxHyIjcdvSlsHWrumEQOzEDmxIcEyb0FQkTmnSrfv3eCe42LL9/D7KzeQsO+ohdB4FpPME&#13;&#10;mMbGqw5bAe+Hl9kKWIgSlbQetYCzDrCprq9KWSh/wjd93MeWEQmGQgowMfYF56Ex2skw971Gun35&#13;&#10;wclI49ByNcgTkTvLsyR54E52SApG9vrJ6OZ7PzoSOfd2Z+txMq/b/uPzZxvyw3IlxO3N9Lym8rgG&#13;&#10;FvUU/z7gkoH8Q0XGaj+iCswKmN3dE5L6Ik+BXQBZuqRVLSDL8gXwquT/g1S/AAAA//8DAFBLAQIt&#13;&#10;ABQABgAIAAAAIQC2gziS/gAAAOEBAAATAAAAAAAAAAAAAAAAAAAAAABbQ29udGVudF9UeXBlc10u&#13;&#10;eG1sUEsBAi0AFAAGAAgAAAAhADj9If/WAAAAlAEAAAsAAAAAAAAAAAAAAAAALwEAAF9yZWxzLy5y&#13;&#10;ZWxzUEsBAi0AFAAGAAgAAAAhAKQ7DPqUAgAAhgUAAA4AAAAAAAAAAAAAAAAALgIAAGRycy9lMm9E&#13;&#10;b2MueG1sUEsBAi0AFAAGAAgAAAAhAHWmhXfjAAAAEAEAAA8AAAAAAAAAAAAAAAAA7gQAAGRycy9k&#13;&#10;b3ducmV2LnhtbFBLBQYAAAAABAAEAPMAAAD+BQAAAAA=&#13;&#10;" fillcolor="#3c57a1" stroked="f" strokeweight="1pt">
                <w10:wrap anchorx="page"/>
              </v:rect>
            </w:pict>
          </mc:Fallback>
        </mc:AlternateContent>
      </w:r>
    </w:p>
    <w:p w14:paraId="3AC5DEFF" w14:textId="095ED3AE" w:rsidR="000F2FFC" w:rsidRPr="000F2FFC" w:rsidRDefault="00AE6B5A" w:rsidP="00AE6B5A">
      <w:pPr>
        <w:pStyle w:val="Heading1"/>
        <w:spacing w:after="0"/>
      </w:pPr>
      <w:r w:rsidRPr="00AE6B5A">
        <w:t>6 Things You Should Do to Prepare for Benefits Renewal</w:t>
      </w:r>
    </w:p>
    <w:p w14:paraId="5408B919" w14:textId="38B5240C" w:rsidR="000F2FFC" w:rsidRPr="000F2FFC" w:rsidRDefault="000F2FFC" w:rsidP="008F5204">
      <w:pPr>
        <w:pStyle w:val="Heading2"/>
      </w:pPr>
    </w:p>
    <w:p w14:paraId="177245AF" w14:textId="160C39DB" w:rsidR="00131126" w:rsidRDefault="00E45539" w:rsidP="000F2FFC"/>
    <w:p w14:paraId="50E30FDD" w14:textId="77777777" w:rsidR="000F2FFC" w:rsidRDefault="000F2FFC" w:rsidP="000F2FFC">
      <w:pPr>
        <w:sectPr w:rsidR="000F2FFC" w:rsidSect="007A666E">
          <w:headerReference w:type="default" r:id="rId8"/>
          <w:footerReference w:type="default" r:id="rId9"/>
          <w:pgSz w:w="12240" w:h="15840"/>
          <w:pgMar w:top="1953" w:right="1440" w:bottom="1440" w:left="1440" w:header="720" w:footer="720" w:gutter="0"/>
          <w:cols w:space="720"/>
          <w:docGrid w:linePitch="360"/>
        </w:sectPr>
      </w:pPr>
    </w:p>
    <w:p w14:paraId="404A81C2" w14:textId="77777777" w:rsidR="00AE6B5A" w:rsidRDefault="00AE6B5A" w:rsidP="00AE6B5A">
      <w:pPr>
        <w:pStyle w:val="NoSpacing"/>
      </w:pPr>
      <w:r>
        <w:t>If you are like most small businesses, your benefits renewal is coming up.</w:t>
      </w:r>
    </w:p>
    <w:p w14:paraId="0560D0AA" w14:textId="77777777" w:rsidR="00AE6B5A" w:rsidRDefault="00AE6B5A" w:rsidP="00AE6B5A">
      <w:pPr>
        <w:pStyle w:val="NoSpacing"/>
      </w:pPr>
    </w:p>
    <w:p w14:paraId="6E31AD6C" w14:textId="4EF21F1E" w:rsidR="00AE6B5A" w:rsidRDefault="00AE6B5A" w:rsidP="00AE6B5A">
      <w:pPr>
        <w:pStyle w:val="NoSpacing"/>
      </w:pPr>
      <w:r>
        <w:t>As an employer, you want to offer your hard</w:t>
      </w:r>
      <w:r>
        <w:t>-</w:t>
      </w:r>
      <w:r>
        <w:t>working employees the benefits they want, but if you are a small business, it might not be feasible due to the significant costs and few options available to employers of your size.</w:t>
      </w:r>
    </w:p>
    <w:p w14:paraId="02D6F3C3" w14:textId="77777777" w:rsidR="00AE6B5A" w:rsidRDefault="00AE6B5A" w:rsidP="00AE6B5A">
      <w:pPr>
        <w:pStyle w:val="NoSpacing"/>
      </w:pPr>
    </w:p>
    <w:p w14:paraId="0B522622" w14:textId="77777777" w:rsidR="00AE6B5A" w:rsidRDefault="00AE6B5A" w:rsidP="00AE6B5A">
      <w:pPr>
        <w:pStyle w:val="NoSpacing"/>
      </w:pPr>
      <w:r>
        <w:t>As a small employer, you have a few options:</w:t>
      </w:r>
    </w:p>
    <w:p w14:paraId="698D92DC" w14:textId="77777777" w:rsidR="00AE6B5A" w:rsidRDefault="00AE6B5A" w:rsidP="00AE6B5A">
      <w:pPr>
        <w:pStyle w:val="NoSpacing"/>
      </w:pPr>
    </w:p>
    <w:p w14:paraId="7747EEB5" w14:textId="77777777" w:rsidR="00AE6B5A" w:rsidRDefault="00AE6B5A" w:rsidP="00AE6B5A">
      <w:pPr>
        <w:pStyle w:val="NoSpacing"/>
        <w:numPr>
          <w:ilvl w:val="0"/>
          <w:numId w:val="3"/>
        </w:numPr>
      </w:pPr>
      <w:r>
        <w:t xml:space="preserve">Work with a broker </w:t>
      </w:r>
    </w:p>
    <w:p w14:paraId="1D9D7CC8" w14:textId="77777777" w:rsidR="00AE6B5A" w:rsidRDefault="00AE6B5A" w:rsidP="00AE6B5A">
      <w:pPr>
        <w:pStyle w:val="NoSpacing"/>
        <w:numPr>
          <w:ilvl w:val="0"/>
          <w:numId w:val="3"/>
        </w:numPr>
      </w:pPr>
      <w:r>
        <w:t>Try using the state-sponsored plan on your own</w:t>
      </w:r>
    </w:p>
    <w:p w14:paraId="3DC8D534" w14:textId="7A89C0BF" w:rsidR="00AE6B5A" w:rsidRDefault="00AE6B5A" w:rsidP="00AE6B5A">
      <w:pPr>
        <w:pStyle w:val="NoSpacing"/>
        <w:numPr>
          <w:ilvl w:val="0"/>
          <w:numId w:val="3"/>
        </w:numPr>
      </w:pPr>
      <w:r>
        <w:t>Work with an HR outsourcer that will loop you in</w:t>
      </w:r>
      <w:r>
        <w:t>t</w:t>
      </w:r>
      <w:r>
        <w:t>o a larger buying pool to save money and have greater options</w:t>
      </w:r>
    </w:p>
    <w:p w14:paraId="6442EFAB" w14:textId="77777777" w:rsidR="00AE6B5A" w:rsidRDefault="00AE6B5A" w:rsidP="00AE6B5A">
      <w:pPr>
        <w:pStyle w:val="NoSpacing"/>
      </w:pPr>
    </w:p>
    <w:p w14:paraId="5CA80FD8" w14:textId="0AC28A5E" w:rsidR="00AE6B5A" w:rsidRDefault="00AE6B5A" w:rsidP="00AE6B5A">
      <w:pPr>
        <w:pStyle w:val="NoSpacing"/>
      </w:pPr>
      <w:r>
        <w:t>Benefits are important to both employers and employees alike. Did you know:</w:t>
      </w:r>
    </w:p>
    <w:p w14:paraId="3674B726" w14:textId="77777777" w:rsidR="00AE6B5A" w:rsidRDefault="00AE6B5A" w:rsidP="00AE6B5A">
      <w:pPr>
        <w:pStyle w:val="NoSpacing"/>
      </w:pPr>
    </w:p>
    <w:p w14:paraId="36A2F2F0" w14:textId="36CB1BD8" w:rsidR="00AE6B5A" w:rsidRDefault="00AE6B5A" w:rsidP="00AE6B5A">
      <w:pPr>
        <w:pStyle w:val="NoSpacing"/>
        <w:numPr>
          <w:ilvl w:val="0"/>
          <w:numId w:val="4"/>
        </w:numPr>
      </w:pPr>
      <w:r>
        <w:t>63% of employees and job seekers ranked benefits as a top factor in their search – second only to salary.</w:t>
      </w:r>
      <w:r w:rsidRPr="00AE6B5A">
        <w:rPr>
          <w:vertAlign w:val="superscript"/>
        </w:rPr>
        <w:t>1</w:t>
      </w:r>
    </w:p>
    <w:p w14:paraId="244EBBA1" w14:textId="28F7FAB9" w:rsidR="00AE6B5A" w:rsidRDefault="00AE6B5A" w:rsidP="00AE6B5A">
      <w:pPr>
        <w:pStyle w:val="NoSpacing"/>
        <w:numPr>
          <w:ilvl w:val="0"/>
          <w:numId w:val="4"/>
        </w:numPr>
      </w:pPr>
      <w:r>
        <w:t>95% of small business owners said they would not be tempted to stop offering coverage to their workers, despite the repeal of the federal tax penalty for people without health insurance.</w:t>
      </w:r>
      <w:r w:rsidRPr="00AE6B5A">
        <w:rPr>
          <w:vertAlign w:val="superscript"/>
        </w:rPr>
        <w:t>2</w:t>
      </w:r>
    </w:p>
    <w:p w14:paraId="62D2BFA0" w14:textId="77777777" w:rsidR="00AE6B5A" w:rsidRDefault="00AE6B5A" w:rsidP="00AE6B5A">
      <w:pPr>
        <w:pStyle w:val="NoSpacing"/>
      </w:pPr>
    </w:p>
    <w:p w14:paraId="4A0E4D5E" w14:textId="77777777" w:rsidR="00AE6B5A" w:rsidRDefault="00AE6B5A" w:rsidP="00AE6B5A">
      <w:pPr>
        <w:pStyle w:val="CallOutQuote"/>
      </w:pPr>
      <w:r>
        <w:t>How to Assess Your Benefit Options</w:t>
      </w:r>
    </w:p>
    <w:p w14:paraId="62A00687" w14:textId="77777777" w:rsidR="00AE6B5A" w:rsidRDefault="00AE6B5A" w:rsidP="00AE6B5A">
      <w:pPr>
        <w:pStyle w:val="NoSpacing"/>
      </w:pPr>
    </w:p>
    <w:p w14:paraId="21BAECBC" w14:textId="39A0A328" w:rsidR="00AE6B5A" w:rsidRPr="00AE6B5A" w:rsidRDefault="00AE6B5A" w:rsidP="00AE6B5A">
      <w:pPr>
        <w:pStyle w:val="NoSpacing"/>
        <w:rPr>
          <w:b/>
          <w:bCs/>
        </w:rPr>
      </w:pPr>
      <w:r w:rsidRPr="00AE6B5A">
        <w:rPr>
          <w:b/>
          <w:bCs/>
        </w:rPr>
        <w:t>As the end of the year approaches, it can be overwhelming as a business owner to navigate the different requirements, timelines, and benefit options without HR expertise.</w:t>
      </w:r>
    </w:p>
    <w:p w14:paraId="1B18BD1E" w14:textId="77777777" w:rsidR="00AE6B5A" w:rsidRDefault="00AE6B5A" w:rsidP="00AE6B5A">
      <w:pPr>
        <w:pStyle w:val="NoSpacing"/>
      </w:pPr>
    </w:p>
    <w:p w14:paraId="7F3460B2" w14:textId="77777777" w:rsidR="00AE6B5A" w:rsidRDefault="00AE6B5A" w:rsidP="00AE6B5A">
      <w:pPr>
        <w:pStyle w:val="NoSpacing"/>
      </w:pPr>
      <w:r>
        <w:t xml:space="preserve">It’s important to review your current benefits offerings and decide what changes, if any, need to be made in time for open enrollment. It’s also critical for you to guide and educate employees with frequent, clear and accurate communication.  </w:t>
      </w:r>
    </w:p>
    <w:p w14:paraId="176E848D" w14:textId="77777777" w:rsidR="00AE6B5A" w:rsidRDefault="00AE6B5A" w:rsidP="00AE6B5A">
      <w:pPr>
        <w:pStyle w:val="NoSpacing"/>
      </w:pPr>
    </w:p>
    <w:p w14:paraId="05DFE0AE" w14:textId="77777777" w:rsidR="00AE6B5A" w:rsidRDefault="00AE6B5A" w:rsidP="00AE6B5A">
      <w:pPr>
        <w:pStyle w:val="NoSpacing"/>
      </w:pPr>
      <w:r>
        <w:t>While you assess the benefits options best for both your business and your employees, consider the following tips to ensure you’re staying on track throughout Open Enrollment.</w:t>
      </w:r>
    </w:p>
    <w:p w14:paraId="78BB2350" w14:textId="77777777" w:rsidR="00AE6B5A" w:rsidRDefault="00AE6B5A" w:rsidP="00AE6B5A">
      <w:pPr>
        <w:pStyle w:val="NoSpacing"/>
      </w:pPr>
    </w:p>
    <w:p w14:paraId="3E46A56E" w14:textId="77777777" w:rsidR="00AE6B5A" w:rsidRDefault="00AE6B5A" w:rsidP="00AE6B5A">
      <w:pPr>
        <w:pStyle w:val="NoSpacing"/>
        <w:numPr>
          <w:ilvl w:val="0"/>
          <w:numId w:val="5"/>
        </w:numPr>
      </w:pPr>
      <w:r>
        <w:t>Survey Your Employees</w:t>
      </w:r>
    </w:p>
    <w:p w14:paraId="3745400F" w14:textId="77777777" w:rsidR="00AE6B5A" w:rsidRDefault="00AE6B5A" w:rsidP="00AE6B5A">
      <w:pPr>
        <w:pStyle w:val="NoSpacing"/>
        <w:numPr>
          <w:ilvl w:val="0"/>
          <w:numId w:val="5"/>
        </w:numPr>
      </w:pPr>
      <w:r>
        <w:t>Educate Yourself</w:t>
      </w:r>
    </w:p>
    <w:p w14:paraId="76B743C8" w14:textId="77777777" w:rsidR="00AE6B5A" w:rsidRDefault="00AE6B5A" w:rsidP="00AE6B5A">
      <w:pPr>
        <w:pStyle w:val="NoSpacing"/>
        <w:numPr>
          <w:ilvl w:val="0"/>
          <w:numId w:val="5"/>
        </w:numPr>
      </w:pPr>
      <w:r>
        <w:t>Brush Up on the ACA</w:t>
      </w:r>
    </w:p>
    <w:p w14:paraId="6FB042AB" w14:textId="77777777" w:rsidR="00AE6B5A" w:rsidRDefault="00AE6B5A" w:rsidP="00AE6B5A">
      <w:pPr>
        <w:pStyle w:val="NoSpacing"/>
        <w:numPr>
          <w:ilvl w:val="0"/>
          <w:numId w:val="5"/>
        </w:numPr>
      </w:pPr>
      <w:r>
        <w:t>Bring in an Outside Expert</w:t>
      </w:r>
    </w:p>
    <w:p w14:paraId="57FA936E" w14:textId="77777777" w:rsidR="00AE6B5A" w:rsidRDefault="00AE6B5A" w:rsidP="00AE6B5A">
      <w:pPr>
        <w:pStyle w:val="NoSpacing"/>
        <w:numPr>
          <w:ilvl w:val="0"/>
          <w:numId w:val="5"/>
        </w:numPr>
      </w:pPr>
      <w:r>
        <w:lastRenderedPageBreak/>
        <w:t>Communicate (x3)</w:t>
      </w:r>
    </w:p>
    <w:p w14:paraId="42F6BFCC" w14:textId="77777777" w:rsidR="00AE6B5A" w:rsidRDefault="00AE6B5A" w:rsidP="00AE6B5A">
      <w:pPr>
        <w:pStyle w:val="NoSpacing"/>
        <w:numPr>
          <w:ilvl w:val="0"/>
          <w:numId w:val="5"/>
        </w:numPr>
      </w:pPr>
      <w:r>
        <w:t>Recognize Online Open Enrollment</w:t>
      </w:r>
    </w:p>
    <w:p w14:paraId="2EDB25FB" w14:textId="77777777" w:rsidR="00AE6B5A" w:rsidRDefault="00AE6B5A" w:rsidP="00AE6B5A">
      <w:pPr>
        <w:pStyle w:val="CallOutQuote"/>
      </w:pPr>
    </w:p>
    <w:p w14:paraId="0F28D0FA" w14:textId="29AEB825" w:rsidR="00AE6B5A" w:rsidRDefault="00AE6B5A" w:rsidP="00AE6B5A">
      <w:pPr>
        <w:pStyle w:val="CallOutQuote"/>
      </w:pPr>
      <w:r>
        <w:t>1. Survey Your Employees About Their Benefits Needs</w:t>
      </w:r>
    </w:p>
    <w:p w14:paraId="25632E69" w14:textId="77777777" w:rsidR="00AE6B5A" w:rsidRDefault="00AE6B5A" w:rsidP="00AE6B5A">
      <w:pPr>
        <w:pStyle w:val="NoSpacing"/>
      </w:pPr>
    </w:p>
    <w:p w14:paraId="2BE5AE75" w14:textId="284CCD0D" w:rsidR="00AE6B5A" w:rsidRDefault="00AE6B5A" w:rsidP="00AE6B5A">
      <w:pPr>
        <w:pStyle w:val="NoSpacing"/>
      </w:pPr>
      <w:r>
        <w:t>Regularly seeking feedback from your employees about their satisfaction with current benefits, needs and wants is key to offering a successful package. Depending on the size of your organization, you can gather feedback in person, administer a simple online survey via SurveyMonkey or similar provider, or utilize online communication tools from your benefits provider. Consider making adjustments to your benefits based on the feedback you receive.</w:t>
      </w:r>
    </w:p>
    <w:p w14:paraId="25629BB7" w14:textId="77777777" w:rsidR="00AE6B5A" w:rsidRDefault="00AE6B5A" w:rsidP="00AE6B5A">
      <w:pPr>
        <w:pStyle w:val="NoSpacing"/>
      </w:pPr>
    </w:p>
    <w:p w14:paraId="52FC93D2" w14:textId="77777777" w:rsidR="00AE6B5A" w:rsidRDefault="00AE6B5A" w:rsidP="00AE6B5A">
      <w:pPr>
        <w:pStyle w:val="CallOutQuote"/>
      </w:pPr>
      <w:r>
        <w:t>2. Educate Yourself on Growing Trends and Your Competitors’ Benefits Packages</w:t>
      </w:r>
    </w:p>
    <w:p w14:paraId="0847D10A" w14:textId="77777777" w:rsidR="00AE6B5A" w:rsidRDefault="00AE6B5A" w:rsidP="00AE6B5A">
      <w:pPr>
        <w:pStyle w:val="NoSpacing"/>
      </w:pPr>
    </w:p>
    <w:p w14:paraId="3EBFBF0C" w14:textId="3B09F6A4" w:rsidR="00AE6B5A" w:rsidRDefault="00AE6B5A" w:rsidP="00AE6B5A">
      <w:pPr>
        <w:pStyle w:val="NoSpacing"/>
      </w:pPr>
      <w:r>
        <w:t>Utilize open enrollment-related articles and research available from the Society for Human Resources Management (SHRM)</w:t>
      </w:r>
      <w:r>
        <w:t xml:space="preserve"> </w:t>
      </w:r>
      <w:r>
        <w:t>and tap into the expertise of your current benefits provider. If you need help finding and selecting the best benefit plans for your organization, consider working with a Professional Employer Organization (PEO). Research what the big players in your industry are providing (many large corporations publish their benefits publicly online) and get creative about how you can measure up or offer attractive alternatives as a small to midsize employer.</w:t>
      </w:r>
    </w:p>
    <w:p w14:paraId="5D110E71" w14:textId="77777777" w:rsidR="00AE6B5A" w:rsidRDefault="00AE6B5A" w:rsidP="00AE6B5A">
      <w:pPr>
        <w:pStyle w:val="NoSpacing"/>
      </w:pPr>
    </w:p>
    <w:p w14:paraId="7263F225" w14:textId="77777777" w:rsidR="00AE6B5A" w:rsidRDefault="00AE6B5A" w:rsidP="00AE6B5A">
      <w:pPr>
        <w:pStyle w:val="CallOutQuote"/>
      </w:pPr>
      <w:r>
        <w:t>3. Brush Up on the Affordable Care Act (ACA) and Be Sure Your Business is in Compliance</w:t>
      </w:r>
    </w:p>
    <w:p w14:paraId="2C6BB4F5" w14:textId="77777777" w:rsidR="00AE6B5A" w:rsidRDefault="00AE6B5A" w:rsidP="00AE6B5A">
      <w:pPr>
        <w:pStyle w:val="NoSpacing"/>
      </w:pPr>
    </w:p>
    <w:p w14:paraId="7F4D6142" w14:textId="73EED4EE" w:rsidR="00AE6B5A" w:rsidRDefault="00AE6B5A" w:rsidP="00AE6B5A">
      <w:pPr>
        <w:pStyle w:val="NoSpacing"/>
      </w:pPr>
      <w:r>
        <w:t xml:space="preserve">While small employers (defined by the ACA and IRS as less than 50 full-time or full-time equivalent (FTE employees) are not required to provide health insurance to their employees under the ACA, many are choosing to do so through private insurance providers or through the Small Business Health Options (SHOP) program. </w:t>
      </w:r>
    </w:p>
    <w:p w14:paraId="56992FDD" w14:textId="77777777" w:rsidR="00AE6B5A" w:rsidRDefault="00AE6B5A" w:rsidP="00AE6B5A">
      <w:pPr>
        <w:pStyle w:val="NoSpacing"/>
      </w:pPr>
    </w:p>
    <w:p w14:paraId="4DCE1A1C" w14:textId="4C5A4919" w:rsidR="00AE6B5A" w:rsidRPr="00AE6B5A" w:rsidRDefault="00AE6B5A" w:rsidP="00AE6B5A">
      <w:pPr>
        <w:pStyle w:val="NoSpacing"/>
        <w:rPr>
          <w:b/>
          <w:bCs/>
          <w:i/>
          <w:iCs/>
        </w:rPr>
      </w:pPr>
      <w:r w:rsidRPr="00AE6B5A">
        <w:rPr>
          <w:b/>
          <w:bCs/>
          <w:i/>
          <w:iCs/>
        </w:rPr>
        <w:t>Remember: once your organization goes over 50 employees, you are subject to ACA rules for Applicable Large Employers (ALEs) and there are additional specific guidelines for businesses up to 100 employees. Larger employer rules also apply for small and midsize businesses use PEOs. Reference the IRS.gov and Healthcare.gov websites for more detailed information and consult with a licensed professional to be sure you are in full compliance.</w:t>
      </w:r>
    </w:p>
    <w:p w14:paraId="76CC826E" w14:textId="77777777" w:rsidR="00AE6B5A" w:rsidRDefault="00AE6B5A" w:rsidP="00AE6B5A">
      <w:pPr>
        <w:pStyle w:val="NoSpacing"/>
      </w:pPr>
    </w:p>
    <w:p w14:paraId="1EB4A322" w14:textId="77777777" w:rsidR="00AE6B5A" w:rsidRPr="00AE6B5A" w:rsidRDefault="00AE6B5A" w:rsidP="00AE6B5A">
      <w:pPr>
        <w:pStyle w:val="NoSpacing"/>
        <w:rPr>
          <w:rFonts w:eastAsia="Times New Roman" w:cstheme="majorBidi"/>
          <w:b/>
          <w:bCs/>
          <w:color w:val="3C57A1"/>
          <w:sz w:val="40"/>
          <w:szCs w:val="40"/>
        </w:rPr>
      </w:pPr>
      <w:r w:rsidRPr="00AE6B5A">
        <w:rPr>
          <w:rFonts w:eastAsia="Times New Roman" w:cstheme="majorBidi"/>
          <w:b/>
          <w:bCs/>
          <w:color w:val="3C57A1"/>
          <w:sz w:val="40"/>
          <w:szCs w:val="40"/>
        </w:rPr>
        <w:t>4. Consider Bringing in an Outside Expert to Help Guide the OE Process for You</w:t>
      </w:r>
    </w:p>
    <w:p w14:paraId="78C37613" w14:textId="77777777" w:rsidR="00AE6B5A" w:rsidRDefault="00AE6B5A" w:rsidP="00AE6B5A">
      <w:pPr>
        <w:pStyle w:val="NoSpacing"/>
      </w:pPr>
    </w:p>
    <w:p w14:paraId="12E31BDB" w14:textId="7D95B933" w:rsidR="00AE6B5A" w:rsidRDefault="00AE6B5A" w:rsidP="00AE6B5A">
      <w:pPr>
        <w:pStyle w:val="NoSpacing"/>
      </w:pPr>
      <w:r>
        <w:t xml:space="preserve">Whether it’s an independent consultant you bring in just to help you through the OE period, or a representative from your current benefits provider that is available throughout the year, look to an expert to help your employees understand what may be changing in their package and </w:t>
      </w:r>
      <w:r>
        <w:lastRenderedPageBreak/>
        <w:t>how they’ll be personally impacted if they elect to make a change. They may also be able to purchase or supplement coverage through the Health Insurance Marketplace and will likely need guidance in completing that step.</w:t>
      </w:r>
    </w:p>
    <w:p w14:paraId="2DB0657E" w14:textId="77777777" w:rsidR="00AE6B5A" w:rsidRDefault="00AE6B5A" w:rsidP="00AE6B5A">
      <w:pPr>
        <w:pStyle w:val="NoSpacing"/>
      </w:pPr>
    </w:p>
    <w:p w14:paraId="633270CE" w14:textId="77777777" w:rsidR="00AE6B5A" w:rsidRPr="00AE6B5A" w:rsidRDefault="00AE6B5A" w:rsidP="00AE6B5A">
      <w:pPr>
        <w:pStyle w:val="NoSpacing"/>
        <w:rPr>
          <w:rFonts w:eastAsia="Times New Roman" w:cstheme="majorBidi"/>
          <w:b/>
          <w:bCs/>
          <w:color w:val="3C57A1"/>
          <w:sz w:val="40"/>
          <w:szCs w:val="40"/>
        </w:rPr>
      </w:pPr>
      <w:r w:rsidRPr="00AE6B5A">
        <w:rPr>
          <w:rFonts w:eastAsia="Times New Roman" w:cstheme="majorBidi"/>
          <w:b/>
          <w:bCs/>
          <w:color w:val="3C57A1"/>
          <w:sz w:val="40"/>
          <w:szCs w:val="40"/>
        </w:rPr>
        <w:t>5. Communicate. Communicate. Communicate.</w:t>
      </w:r>
    </w:p>
    <w:p w14:paraId="51214A0F" w14:textId="77777777" w:rsidR="00AE6B5A" w:rsidRDefault="00AE6B5A" w:rsidP="00AE6B5A">
      <w:pPr>
        <w:pStyle w:val="NoSpacing"/>
      </w:pPr>
    </w:p>
    <w:p w14:paraId="211E8D78" w14:textId="0E4E0D3B" w:rsidR="00AE6B5A" w:rsidRDefault="00AE6B5A" w:rsidP="00AE6B5A">
      <w:pPr>
        <w:pStyle w:val="NoSpacing"/>
      </w:pPr>
      <w:r>
        <w:t>Develop a communications plan to get the word out effectively about OE</w:t>
      </w:r>
      <w:r>
        <w:t xml:space="preserve"> </w:t>
      </w:r>
      <w:r>
        <w:t>and encourage your employees to ask questions and elect to make changes sooner rather than later.  Use a creative, layered approach that reaches employees often and through different formats, combining email, print, text and in-person meetings (try an informal OE breakfast break or pizza party).</w:t>
      </w:r>
    </w:p>
    <w:p w14:paraId="2C25E706" w14:textId="77777777" w:rsidR="00AE6B5A" w:rsidRDefault="00AE6B5A" w:rsidP="00AE6B5A">
      <w:pPr>
        <w:pStyle w:val="NoSpacing"/>
      </w:pPr>
    </w:p>
    <w:p w14:paraId="451C8E05" w14:textId="77777777" w:rsidR="00AE6B5A" w:rsidRPr="00AE6B5A" w:rsidRDefault="00AE6B5A" w:rsidP="00AE6B5A">
      <w:pPr>
        <w:pStyle w:val="NoSpacing"/>
        <w:rPr>
          <w:rFonts w:eastAsia="Times New Roman" w:cstheme="majorBidi"/>
          <w:b/>
          <w:bCs/>
          <w:color w:val="3C57A1"/>
          <w:sz w:val="40"/>
          <w:szCs w:val="40"/>
        </w:rPr>
      </w:pPr>
      <w:r w:rsidRPr="00AE6B5A">
        <w:rPr>
          <w:rFonts w:eastAsia="Times New Roman" w:cstheme="majorBidi"/>
          <w:b/>
          <w:bCs/>
          <w:color w:val="3C57A1"/>
          <w:sz w:val="40"/>
          <w:szCs w:val="40"/>
        </w:rPr>
        <w:t>6. Recognize Online Open Enrollment is Key</w:t>
      </w:r>
    </w:p>
    <w:p w14:paraId="16B691E7" w14:textId="77777777" w:rsidR="00AE6B5A" w:rsidRDefault="00AE6B5A" w:rsidP="00AE6B5A">
      <w:pPr>
        <w:pStyle w:val="NoSpacing"/>
      </w:pPr>
    </w:p>
    <w:p w14:paraId="73814289" w14:textId="009607D1" w:rsidR="00AE6B5A" w:rsidRDefault="00AE6B5A" w:rsidP="00AE6B5A">
      <w:pPr>
        <w:pStyle w:val="NoSpacing"/>
      </w:pPr>
      <w:r>
        <w:t xml:space="preserve">As an employer, you not only provide a salary, but are also increasingly asked to be an integral part of your employees’ wellbeing, ensuring personal needs are both understood and met. </w:t>
      </w:r>
    </w:p>
    <w:p w14:paraId="40E2711D" w14:textId="77777777" w:rsidR="00AE6B5A" w:rsidRDefault="00AE6B5A" w:rsidP="00AE6B5A">
      <w:pPr>
        <w:pStyle w:val="NoSpacing"/>
      </w:pPr>
    </w:p>
    <w:p w14:paraId="46171DD5" w14:textId="47917B90" w:rsidR="008F5204" w:rsidRDefault="00AE6B5A" w:rsidP="008F5204">
      <w:pPr>
        <w:pStyle w:val="NoSpacing"/>
      </w:pPr>
      <w:r>
        <w:t>Your employees are growing increasingly accustomed to managing most aspects of their life online. They’re consumers both outside and inside the workplace. Online enrollment helps streamline this process for employer and employee alike, minimizing errors, and providing added layers of communication that will help boost benefits utilization in the future. As a business owner, you juggle enough responsibilities. Open enrollment doesn’t need to be one of them.</w:t>
      </w:r>
    </w:p>
    <w:p w14:paraId="333E2A57" w14:textId="72EB1C13" w:rsidR="00AE6B5A" w:rsidRDefault="00AE6B5A" w:rsidP="008F5204">
      <w:pPr>
        <w:pStyle w:val="NoSpacing"/>
      </w:pPr>
    </w:p>
    <w:p w14:paraId="40A10840" w14:textId="7CC6691F" w:rsidR="00AE6B5A" w:rsidRDefault="00AE6B5A" w:rsidP="008F5204">
      <w:pPr>
        <w:pStyle w:val="NoSpacing"/>
      </w:pPr>
    </w:p>
    <w:p w14:paraId="62BBBD5A" w14:textId="575BFF89" w:rsidR="00AE6B5A" w:rsidRDefault="00AE6B5A" w:rsidP="008F5204">
      <w:pPr>
        <w:pStyle w:val="NoSpacing"/>
      </w:pPr>
    </w:p>
    <w:p w14:paraId="7F66FC70" w14:textId="2CEF5471" w:rsidR="00AE6B5A" w:rsidRDefault="00AE6B5A" w:rsidP="008F5204">
      <w:pPr>
        <w:pStyle w:val="NoSpacing"/>
      </w:pPr>
    </w:p>
    <w:p w14:paraId="74874159" w14:textId="03E2EC6C" w:rsidR="00AE6B5A" w:rsidRDefault="00AE6B5A" w:rsidP="008F5204">
      <w:pPr>
        <w:pStyle w:val="NoSpacing"/>
      </w:pPr>
    </w:p>
    <w:p w14:paraId="249D9547" w14:textId="77777777" w:rsidR="00AE6B5A" w:rsidRPr="00AE6B5A" w:rsidRDefault="00AE6B5A" w:rsidP="00AE6B5A">
      <w:pPr>
        <w:shd w:val="clear" w:color="auto" w:fill="FFFFFF"/>
        <w:spacing w:before="100" w:beforeAutospacing="1" w:after="100" w:afterAutospacing="1" w:line="240" w:lineRule="auto"/>
        <w:rPr>
          <w:rFonts w:ascii="Lato" w:eastAsia="Times New Roman" w:hAnsi="Lato" w:cs="Times New Roman"/>
          <w:color w:val="4B4F54"/>
          <w:sz w:val="24"/>
          <w:szCs w:val="24"/>
        </w:rPr>
      </w:pPr>
      <w:r w:rsidRPr="00AE6B5A">
        <w:rPr>
          <w:rFonts w:ascii="Lato" w:eastAsia="Times New Roman" w:hAnsi="Lato" w:cs="Times New Roman"/>
          <w:color w:val="4B4F54"/>
          <w:sz w:val="24"/>
          <w:szCs w:val="24"/>
          <w:vertAlign w:val="superscript"/>
        </w:rPr>
        <w:t>1</w:t>
      </w:r>
      <w:hyperlink r:id="rId10" w:tgtFrame="_blank" w:history="1">
        <w:r w:rsidRPr="00AE6B5A">
          <w:rPr>
            <w:rFonts w:ascii="Lato" w:eastAsia="Times New Roman" w:hAnsi="Lato" w:cs="Times New Roman"/>
            <w:color w:val="008EAA"/>
            <w:sz w:val="24"/>
            <w:szCs w:val="24"/>
            <w:u w:val="single"/>
          </w:rPr>
          <w:t>https://www.glassdoor.com/employers/blog/salary-benefits-survey</w:t>
        </w:r>
      </w:hyperlink>
    </w:p>
    <w:p w14:paraId="4C749B56" w14:textId="77777777" w:rsidR="00AE6B5A" w:rsidRPr="00AE6B5A" w:rsidRDefault="00AE6B5A" w:rsidP="00AE6B5A">
      <w:pPr>
        <w:shd w:val="clear" w:color="auto" w:fill="FFFFFF"/>
        <w:spacing w:before="100" w:beforeAutospacing="1" w:after="100" w:afterAutospacing="1" w:line="240" w:lineRule="auto"/>
        <w:rPr>
          <w:rFonts w:ascii="Lato" w:eastAsia="Times New Roman" w:hAnsi="Lato" w:cs="Times New Roman"/>
          <w:color w:val="4B4F54"/>
          <w:sz w:val="24"/>
          <w:szCs w:val="24"/>
        </w:rPr>
      </w:pPr>
      <w:r w:rsidRPr="00AE6B5A">
        <w:rPr>
          <w:rFonts w:ascii="Lato" w:eastAsia="Times New Roman" w:hAnsi="Lato" w:cs="Times New Roman"/>
          <w:color w:val="4B4F54"/>
          <w:sz w:val="24"/>
          <w:szCs w:val="24"/>
          <w:vertAlign w:val="superscript"/>
        </w:rPr>
        <w:t>2</w:t>
      </w:r>
      <w:hyperlink r:id="rId11" w:tgtFrame="_blank" w:history="1">
        <w:r w:rsidRPr="00AE6B5A">
          <w:rPr>
            <w:rFonts w:ascii="Lato" w:eastAsia="Times New Roman" w:hAnsi="Lato" w:cs="Times New Roman"/>
            <w:color w:val="008EAA"/>
            <w:sz w:val="24"/>
            <w:szCs w:val="24"/>
            <w:u w:val="single"/>
          </w:rPr>
          <w:t>https://www.healthcarefinancenews.com/news/most-small-business-owners-worry-about-cost-health-coverage-survey-shows</w:t>
        </w:r>
      </w:hyperlink>
    </w:p>
    <w:p w14:paraId="33948CBA" w14:textId="074680E2" w:rsidR="00AE6B5A" w:rsidRPr="00AE6B5A" w:rsidRDefault="00AE6B5A" w:rsidP="00AE6B5A">
      <w:pPr>
        <w:shd w:val="clear" w:color="auto" w:fill="FFFFFF"/>
        <w:spacing w:before="100" w:beforeAutospacing="1" w:after="100" w:afterAutospacing="1" w:line="240" w:lineRule="auto"/>
        <w:rPr>
          <w:rFonts w:ascii="Lato" w:eastAsia="Times New Roman" w:hAnsi="Lato" w:cs="Times New Roman"/>
          <w:color w:val="4B4F54"/>
          <w:sz w:val="24"/>
          <w:szCs w:val="24"/>
        </w:rPr>
      </w:pPr>
      <w:r w:rsidRPr="00AE6B5A">
        <w:rPr>
          <w:rFonts w:ascii="Lato" w:eastAsia="Times New Roman" w:hAnsi="Lato" w:cs="Times New Roman"/>
          <w:color w:val="4B4F54"/>
          <w:sz w:val="24"/>
          <w:szCs w:val="24"/>
          <w:vertAlign w:val="superscript"/>
        </w:rPr>
        <w:t>3</w:t>
      </w:r>
      <w:hyperlink r:id="rId12" w:tgtFrame="_blank" w:history="1">
        <w:r w:rsidRPr="00AE6B5A">
          <w:rPr>
            <w:rFonts w:ascii="Lato" w:eastAsia="Times New Roman" w:hAnsi="Lato" w:cs="Times New Roman"/>
            <w:color w:val="008EAA"/>
            <w:sz w:val="24"/>
            <w:szCs w:val="24"/>
            <w:u w:val="single"/>
          </w:rPr>
          <w:t>https://www.napeo.org/what-is-a-peo/about-the-peo-industry/industry-statistics</w:t>
        </w:r>
      </w:hyperlink>
    </w:p>
    <w:sectPr w:rsidR="00AE6B5A" w:rsidRPr="00AE6B5A" w:rsidSect="003C5E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F7D1A" w14:textId="77777777" w:rsidR="00E45539" w:rsidRDefault="00E45539" w:rsidP="00E94503">
      <w:pPr>
        <w:spacing w:after="0" w:line="240" w:lineRule="auto"/>
      </w:pPr>
      <w:r>
        <w:separator/>
      </w:r>
    </w:p>
  </w:endnote>
  <w:endnote w:type="continuationSeparator" w:id="0">
    <w:p w14:paraId="13CEA25D" w14:textId="77777777" w:rsidR="00E45539" w:rsidRDefault="00E45539" w:rsidP="00E9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F4E4" w14:textId="7307F47E" w:rsidR="00E94503" w:rsidRPr="007A666E" w:rsidRDefault="00E94503" w:rsidP="007A666E">
    <w:pPr>
      <w:pStyle w:val="Footer"/>
      <w:rPr>
        <w:color w:val="3B57A1"/>
      </w:rPr>
    </w:pPr>
    <w:r w:rsidRPr="007A666E">
      <w:rPr>
        <w:b/>
        <w:bCs/>
        <w:noProof/>
        <w:color w:val="3B57A1"/>
      </w:rPr>
      <w:drawing>
        <wp:anchor distT="0" distB="0" distL="114300" distR="114300" simplePos="0" relativeHeight="251658240" behindDoc="0" locked="0" layoutInCell="1" allowOverlap="1" wp14:anchorId="59418DFA" wp14:editId="432FEEBB">
          <wp:simplePos x="0" y="0"/>
          <wp:positionH relativeFrom="column">
            <wp:posOffset>4638675</wp:posOffset>
          </wp:positionH>
          <wp:positionV relativeFrom="paragraph">
            <wp:posOffset>635</wp:posOffset>
          </wp:positionV>
          <wp:extent cx="1370965" cy="266700"/>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7046" b="14758"/>
                  <a:stretch/>
                </pic:blipFill>
                <pic:spPr bwMode="auto">
                  <a:xfrm>
                    <a:off x="0" y="0"/>
                    <a:ext cx="137096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66E" w:rsidRPr="007A666E">
      <w:rPr>
        <w:b/>
        <w:bCs/>
        <w:color w:val="3B57A1"/>
      </w:rPr>
      <w:t>Name of Company</w:t>
    </w:r>
    <w:r w:rsidR="007A666E" w:rsidRPr="007A666E">
      <w:rPr>
        <w:color w:val="3B57A1"/>
      </w:rPr>
      <w:t xml:space="preserve"> | 123-456-7591 | www.yoururl.com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287D9" w14:textId="77777777" w:rsidR="00E45539" w:rsidRDefault="00E45539" w:rsidP="00E94503">
      <w:pPr>
        <w:spacing w:after="0" w:line="240" w:lineRule="auto"/>
      </w:pPr>
      <w:r>
        <w:separator/>
      </w:r>
    </w:p>
  </w:footnote>
  <w:footnote w:type="continuationSeparator" w:id="0">
    <w:p w14:paraId="6F145DDB" w14:textId="77777777" w:rsidR="00E45539" w:rsidRDefault="00E45539" w:rsidP="00E9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688E" w14:textId="2ED6A88E" w:rsidR="007A666E" w:rsidRDefault="007A666E">
    <w:pPr>
      <w:pStyle w:val="Header"/>
    </w:pPr>
    <w:r>
      <w:rPr>
        <w:noProof/>
      </w:rPr>
      <mc:AlternateContent>
        <mc:Choice Requires="wpg">
          <w:drawing>
            <wp:anchor distT="0" distB="0" distL="114300" distR="114300" simplePos="0" relativeHeight="251660288" behindDoc="0" locked="0" layoutInCell="1" allowOverlap="1" wp14:anchorId="7C0D247A" wp14:editId="12F2F480">
              <wp:simplePos x="0" y="0"/>
              <wp:positionH relativeFrom="margin">
                <wp:posOffset>0</wp:posOffset>
              </wp:positionH>
              <wp:positionV relativeFrom="paragraph">
                <wp:posOffset>-199360</wp:posOffset>
              </wp:positionV>
              <wp:extent cx="1562100" cy="438785"/>
              <wp:effectExtent l="0" t="0" r="0" b="5715"/>
              <wp:wrapTopAndBottom/>
              <wp:docPr id="10" name="Group 10"/>
              <wp:cNvGraphicFramePr/>
              <a:graphic xmlns:a="http://schemas.openxmlformats.org/drawingml/2006/main">
                <a:graphicData uri="http://schemas.microsoft.com/office/word/2010/wordprocessingGroup">
                  <wpg:wgp>
                    <wpg:cNvGrpSpPr/>
                    <wpg:grpSpPr>
                      <a:xfrm>
                        <a:off x="0" y="0"/>
                        <a:ext cx="1562100" cy="438785"/>
                        <a:chOff x="0" y="0"/>
                        <a:chExt cx="5972175" cy="1914525"/>
                      </a:xfrm>
                    </wpg:grpSpPr>
                    <wps:wsp>
                      <wps:cNvPr id="11" name="Rectangle 11"/>
                      <wps:cNvSpPr/>
                      <wps:spPr>
                        <a:xfrm>
                          <a:off x="0" y="0"/>
                          <a:ext cx="5972175" cy="1914525"/>
                        </a:xfrm>
                        <a:prstGeom prst="rect">
                          <a:avLst/>
                        </a:prstGeom>
                        <a:solidFill>
                          <a:srgbClr val="E7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27741" y="379711"/>
                          <a:ext cx="5025367" cy="1313161"/>
                        </a:xfrm>
                        <a:prstGeom prst="rect">
                          <a:avLst/>
                        </a:prstGeom>
                        <a:noFill/>
                        <a:ln w="6350">
                          <a:noFill/>
                        </a:ln>
                      </wps:spPr>
                      <wps:txbx>
                        <w:txbxContent>
                          <w:p w14:paraId="0FCBAB5A" w14:textId="77777777" w:rsidR="007A666E" w:rsidRDefault="007A666E" w:rsidP="007A666E">
                            <w:r>
                              <w:t>Replace with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D247A" id="Group 10" o:spid="_x0000_s1026" style="position:absolute;margin-left:0;margin-top:-15.7pt;width:123pt;height:34.55pt;z-index:251660288;mso-position-horizontal-relative:margin;mso-width-relative:margin;mso-height-relative:margin" coordsize="59721,19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KAWQMAAIcJAAAOAAAAZHJzL2Uyb0RvYy54bWzcVstO3DAU3VfqP1jZl0wyk8kQERDlpUqI&#13;&#10;okLVtcdxHpJju7aHhH59r+04UIpaRKWqKosQ2/d5fO6ZHByNPUN3VOlO8DJK9hYRopyIquNNGX2+&#13;&#10;PX+3iZA2mFeYCU7L6J7q6Ojw7ZuDQRY0Fa1gFVUIgnBdDLKMWmNkEceatLTHek9IyuGwFqrHBpaq&#13;&#10;iSuFB4jeszhdLNbxIFQllSBUa9g99YfRoYtf15SYj3WtqUGsjKA2457KPbf2GR8e4KJRWLYdmcrA&#13;&#10;r6iixx2HpHOoU2ww2qnup1B9R5TQojZ7RPSxqOuOUNcDdJMsnnRzocROul6aYmjkDBNA+wSnV4cl&#13;&#10;V3fXCnUV3B3Aw3EPd+TSIlgDOINsCrC5UPJGXqtpo/Er2+9Yq97+h07Q6GC9n2Glo0EENpNsnSYL&#13;&#10;CE/gbLXc5JvM405auJyf3Eh7Njlm+3ma5Jl3TPaTVZY6zzjkjW15czWDBA7pB5j0n8F002JJHfra&#13;&#10;QhBgSgJMn4BcmDeMoiTxUDm7GSddaIDspSD9tldcSKXNBRU9si9lpCC/4xy+u9QGrgZgCSY2qxas&#13;&#10;q847xtxCNdsTptAdhkE4y882Z/u2ZnD5wYxxa8yFdfPHdgdgDs24N3PPqLVj/BOtgTxwx6mrxI0t&#13;&#10;nfNgQig3iT9qcUV9+mwBfyG7HXTr4WpxAW3kGvLPsacAwdIHCbF9lZO9daVu6mfnxa8K886zh8ss&#13;&#10;uJmd+44L9VwABl1Nmb19AMlDY1HaiuoeOKOE1xwtyXkH93aJtbnGCkQGBgKE03yER83EUEZieotQ&#13;&#10;K9S35/atPZAaTiM0gGiVkf66w4pGiH3gQHcYkZVVObdYZXkKC/X4ZPv4hO/6EwF0AEZDde7V2hsW&#13;&#10;Xmsl+i+gr8c2KxxhTiB3GRGjwuLEeDEFhSb0+NiZgbJJbC75jSQ2uEXV8vJ2/IKVnMhrQByuRBgx&#13;&#10;XDzhsLe1nlwc74yoO0fwB1wnvGHcrUb9jblPw9zfWl17L0aUpE/GHpkR9m3PwA03Kc8LwDLN8xWg&#13;&#10;DnK4zPdzLx/A3CB7izRbrvNJ9pbJMlkHtgW5DXP+QimYB9rOLAKqrZeZH4z5BJTgmVE343acevmP&#13;&#10;+Wz+JTa73zT4tXeCOH2Z2M+Jx2vH/ofvp8PvAAAA//8DAFBLAwQUAAYACAAAACEAX2pCyuMAAAAM&#13;&#10;AQAADwAAAGRycy9kb3ducmV2LnhtbEyPT2vCQBDF74V+h2UKvekmxmqJ2YjYPycRqoXS25odk2B2&#13;&#10;NmTXJH77Tk/tZWDm8d68X7YebSN67HztSEE8jUAgFc7UVCr4PL5NnkH4oMnoxhEquKGHdX5/l+nU&#13;&#10;uIE+sD+EUnAI+VQrqEJoUyl9UaHVfupaJNbOrrM68NqV0nR64HDbyFkULaTVNfGHSre4rbC4HK5W&#13;&#10;wfugh00Sv/a7y3l7+z4+7b92MSr1+DC+rHhsViACjuHPAb8M3B9yLnZyVzJeNAqYJiiYJPEcBMuz&#13;&#10;+YIvJwXJcgkyz+R/iPwHAAD//wMAUEsBAi0AFAAGAAgAAAAhALaDOJL+AAAA4QEAABMAAAAAAAAA&#13;&#10;AAAAAAAAAAAAAFtDb250ZW50X1R5cGVzXS54bWxQSwECLQAUAAYACAAAACEAOP0h/9YAAACUAQAA&#13;&#10;CwAAAAAAAAAAAAAAAAAvAQAAX3JlbHMvLnJlbHNQSwECLQAUAAYACAAAACEAY/kygFkDAACHCQAA&#13;&#10;DgAAAAAAAAAAAAAAAAAuAgAAZHJzL2Uyb0RvYy54bWxQSwECLQAUAAYACAAAACEAX2pCyuMAAAAM&#13;&#10;AQAADwAAAAAAAAAAAAAAAACzBQAAZHJzL2Rvd25yZXYueG1sUEsFBgAAAAAEAAQA8wAAAMMGAAAA&#13;&#10;AA==&#13;&#10;">
              <v:rect id="Rectangle 11" o:spid="_x0000_s1027" style="position:absolute;width:59721;height:19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QL0xwAAAOAAAAAPAAAAZHJzL2Rvd25yZXYueG1sRI/RagIx&#13;&#10;EEXfC/2HMIW+lJpVxNbVKGoVfBOtHzDdTDeLm8mSRF39eiMIvgwzXO4Zznja2lqcyIfKsYJuJwNB&#13;&#10;XDhdcalg/7v6/AYRIrLG2jEpuFCA6eT1ZYy5dmfe0mkXS5EgHHJUYGJscilDYchi6LiGOGX/zluM&#13;&#10;6fSl1B7PCW5r2cuygbRYcfpgsKGFoeKwO1oFX7PNcK7X12VZfWzMsm8O/m+4V+r9rf0ZpTEbgYjU&#13;&#10;xmfjgVjr5NCFu1BaQE5uAAAA//8DAFBLAQItABQABgAIAAAAIQDb4fbL7gAAAIUBAAATAAAAAAAA&#13;&#10;AAAAAAAAAAAAAABbQ29udGVudF9UeXBlc10ueG1sUEsBAi0AFAAGAAgAAAAhAFr0LFu/AAAAFQEA&#13;&#10;AAsAAAAAAAAAAAAAAAAAHwEAAF9yZWxzLy5yZWxzUEsBAi0AFAAGAAgAAAAhAKRRAvTHAAAA4AAA&#13;&#10;AA8AAAAAAAAAAAAAAAAABwIAAGRycy9kb3ducmV2LnhtbFBLBQYAAAAAAwADALcAAAD7AgAAAAA=&#13;&#10;" fillcolor="#e7e8e9" stroked="f" strokeweight="1pt"/>
              <v:shapetype id="_x0000_t202" coordsize="21600,21600" o:spt="202" path="m,l,21600r21600,l21600,xe">
                <v:stroke joinstyle="miter"/>
                <v:path gradientshapeok="t" o:connecttype="rect"/>
              </v:shapetype>
              <v:shape id="Text Box 12" o:spid="_x0000_s1028" type="#_x0000_t202" style="position:absolute;left:3277;top:3797;width:50254;height:13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8CVyQAAAOAAAAAPAAAAZHJzL2Rvd25yZXYueG1sRI/BasJA&#13;&#10;EIbvBd9hGaG3umlACdFVJCKVYg9JvfQ2zY5JaHY2Zrcm+vTdQqGXYYaf/xu+1WY0rbhS7xrLCp5n&#13;&#10;EQji0uqGKwWn9/1TAsJ5ZI2tZVJwIweb9eRhham2A+d0LXwlAoRdigpq77tUSlfWZNDNbEccsrPt&#13;&#10;Dfpw9pXUPQ4BbloZR9FCGmw4fKixo6ym8qv4Ngpes/0b5p+xSe5t9nI8b7vL6WOu1ON03C3D2C5B&#13;&#10;eBr9f+MPcdDBIYZfobCAXP8AAAD//wMAUEsBAi0AFAAGAAgAAAAhANvh9svuAAAAhQEAABMAAAAA&#13;&#10;AAAAAAAAAAAAAAAAAFtDb250ZW50X1R5cGVzXS54bWxQSwECLQAUAAYACAAAACEAWvQsW78AAAAV&#13;&#10;AQAACwAAAAAAAAAAAAAAAAAfAQAAX3JlbHMvLnJlbHNQSwECLQAUAAYACAAAACEAjc/AlckAAADg&#13;&#10;AAAADwAAAAAAAAAAAAAAAAAHAgAAZHJzL2Rvd25yZXYueG1sUEsFBgAAAAADAAMAtwAAAP0CAAAA&#13;&#10;AA==&#13;&#10;" filled="f" stroked="f" strokeweight=".5pt">
                <v:textbox>
                  <w:txbxContent>
                    <w:p w14:paraId="0FCBAB5A" w14:textId="77777777" w:rsidR="007A666E" w:rsidRDefault="007A666E" w:rsidP="007A666E">
                      <w:r>
                        <w:t>Replace with logo</w:t>
                      </w:r>
                    </w:p>
                  </w:txbxContent>
                </v:textbox>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4222"/>
    <w:multiLevelType w:val="hybridMultilevel"/>
    <w:tmpl w:val="9F7C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1181"/>
    <w:multiLevelType w:val="hybridMultilevel"/>
    <w:tmpl w:val="4C7A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66F45"/>
    <w:multiLevelType w:val="hybridMultilevel"/>
    <w:tmpl w:val="D2DC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E6B72"/>
    <w:multiLevelType w:val="hybridMultilevel"/>
    <w:tmpl w:val="8326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50EB8"/>
    <w:multiLevelType w:val="hybridMultilevel"/>
    <w:tmpl w:val="D1E0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C"/>
    <w:rsid w:val="00082BAC"/>
    <w:rsid w:val="000F2FFC"/>
    <w:rsid w:val="00200266"/>
    <w:rsid w:val="002F13DE"/>
    <w:rsid w:val="003C1062"/>
    <w:rsid w:val="003C5EF8"/>
    <w:rsid w:val="0043000A"/>
    <w:rsid w:val="0047430F"/>
    <w:rsid w:val="006971E9"/>
    <w:rsid w:val="007A666E"/>
    <w:rsid w:val="00866429"/>
    <w:rsid w:val="008F5204"/>
    <w:rsid w:val="0090346D"/>
    <w:rsid w:val="00AE6B5A"/>
    <w:rsid w:val="00B543A9"/>
    <w:rsid w:val="00BC7788"/>
    <w:rsid w:val="00CA49EE"/>
    <w:rsid w:val="00DD2CFA"/>
    <w:rsid w:val="00E45539"/>
    <w:rsid w:val="00E94503"/>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B248"/>
  <w15:chartTrackingRefBased/>
  <w15:docId w15:val="{C65227E5-35FE-449A-A722-89FC4F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FC"/>
    <w:rPr>
      <w:rFonts w:ascii="Century Gothic" w:hAnsi="Century Gothic"/>
      <w:color w:val="63666A"/>
      <w:sz w:val="20"/>
      <w:szCs w:val="20"/>
    </w:rPr>
  </w:style>
  <w:style w:type="paragraph" w:styleId="Heading1">
    <w:name w:val="heading 1"/>
    <w:basedOn w:val="Normal"/>
    <w:next w:val="Normal"/>
    <w:link w:val="Heading1Char"/>
    <w:uiPriority w:val="9"/>
    <w:qFormat/>
    <w:rsid w:val="000F2FFC"/>
    <w:pPr>
      <w:jc w:val="center"/>
      <w:outlineLvl w:val="0"/>
    </w:pPr>
    <w:rPr>
      <w:rFonts w:cs="Arial"/>
      <w:b/>
      <w:bCs/>
      <w:noProof/>
      <w:color w:val="FFFFFF" w:themeColor="background1"/>
      <w:sz w:val="44"/>
      <w:szCs w:val="44"/>
    </w:rPr>
  </w:style>
  <w:style w:type="paragraph" w:styleId="Heading2">
    <w:name w:val="heading 2"/>
    <w:basedOn w:val="NormalWeb"/>
    <w:next w:val="Normal"/>
    <w:link w:val="Heading2Char"/>
    <w:uiPriority w:val="9"/>
    <w:unhideWhenUsed/>
    <w:qFormat/>
    <w:rsid w:val="000F2FFC"/>
    <w:pPr>
      <w:jc w:val="center"/>
      <w:outlineLvl w:val="1"/>
    </w:pPr>
    <w:rPr>
      <w:rFonts w:ascii="Century Gothic" w:hAnsi="Century Gothic"/>
      <w:color w:val="FFFFFF" w:themeColor="background1"/>
    </w:rPr>
  </w:style>
  <w:style w:type="paragraph" w:styleId="Heading3">
    <w:name w:val="heading 3"/>
    <w:basedOn w:val="Normal"/>
    <w:next w:val="Normal"/>
    <w:link w:val="Heading3Char"/>
    <w:uiPriority w:val="9"/>
    <w:unhideWhenUsed/>
    <w:qFormat/>
    <w:rsid w:val="00B543A9"/>
    <w:pPr>
      <w:keepNext/>
      <w:keepLines/>
      <w:spacing w:before="40" w:after="0" w:line="240" w:lineRule="auto"/>
      <w:outlineLvl w:val="2"/>
    </w:pPr>
    <w:rPr>
      <w:rFonts w:eastAsia="Times New Roman" w:cstheme="majorBidi"/>
      <w:b/>
      <w:bCs/>
      <w:color w:val="3C57A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C"/>
    <w:rPr>
      <w:rFonts w:ascii="Century Gothic" w:hAnsi="Century Gothic" w:cs="Arial"/>
      <w:b/>
      <w:bCs/>
      <w:noProof/>
      <w:color w:val="FFFFFF" w:themeColor="background1"/>
      <w:sz w:val="44"/>
      <w:szCs w:val="44"/>
    </w:rPr>
  </w:style>
  <w:style w:type="paragraph" w:styleId="NormalWeb">
    <w:name w:val="Normal (Web)"/>
    <w:basedOn w:val="Normal"/>
    <w:uiPriority w:val="99"/>
    <w:unhideWhenUsed/>
    <w:rsid w:val="000F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2FFC"/>
    <w:rPr>
      <w:rFonts w:ascii="Century Gothic" w:eastAsia="Times New Roman" w:hAnsi="Century Gothic" w:cs="Times New Roman"/>
      <w:color w:val="FFFFFF" w:themeColor="background1"/>
      <w:sz w:val="24"/>
      <w:szCs w:val="24"/>
    </w:rPr>
  </w:style>
  <w:style w:type="paragraph" w:styleId="NoSpacing">
    <w:name w:val="No Spacing"/>
    <w:uiPriority w:val="1"/>
    <w:qFormat/>
    <w:rsid w:val="000F2FFC"/>
    <w:pPr>
      <w:spacing w:after="0" w:line="240" w:lineRule="auto"/>
    </w:pPr>
    <w:rPr>
      <w:rFonts w:ascii="Century Gothic" w:hAnsi="Century Gothic"/>
      <w:color w:val="63666A"/>
      <w:sz w:val="20"/>
      <w:szCs w:val="20"/>
    </w:rPr>
  </w:style>
  <w:style w:type="table" w:styleId="TableGrid">
    <w:name w:val="Table Grid"/>
    <w:basedOn w:val="TableNormal"/>
    <w:uiPriority w:val="39"/>
    <w:rsid w:val="0047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A9"/>
    <w:rPr>
      <w:rFonts w:ascii="Century Gothic" w:eastAsia="Times New Roman" w:hAnsi="Century Gothic" w:cstheme="majorBidi"/>
      <w:b/>
      <w:bCs/>
      <w:color w:val="3C57A1"/>
      <w:sz w:val="24"/>
      <w:szCs w:val="24"/>
    </w:rPr>
  </w:style>
  <w:style w:type="paragraph" w:styleId="Header">
    <w:name w:val="header"/>
    <w:basedOn w:val="Normal"/>
    <w:link w:val="HeaderChar"/>
    <w:uiPriority w:val="99"/>
    <w:unhideWhenUsed/>
    <w:rsid w:val="00E9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3"/>
    <w:rPr>
      <w:rFonts w:ascii="Century Gothic" w:hAnsi="Century Gothic"/>
      <w:color w:val="63666A"/>
      <w:sz w:val="20"/>
      <w:szCs w:val="20"/>
    </w:rPr>
  </w:style>
  <w:style w:type="paragraph" w:styleId="Footer">
    <w:name w:val="footer"/>
    <w:basedOn w:val="Normal"/>
    <w:link w:val="FooterChar"/>
    <w:uiPriority w:val="99"/>
    <w:unhideWhenUsed/>
    <w:rsid w:val="00E9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3"/>
    <w:rPr>
      <w:rFonts w:ascii="Century Gothic" w:hAnsi="Century Gothic"/>
      <w:color w:val="63666A"/>
      <w:sz w:val="20"/>
      <w:szCs w:val="20"/>
    </w:rPr>
  </w:style>
  <w:style w:type="paragraph" w:customStyle="1" w:styleId="CallOutQuote">
    <w:name w:val="Call Out/Quote"/>
    <w:basedOn w:val="Heading3"/>
    <w:qFormat/>
    <w:rsid w:val="003C5EF8"/>
    <w:rPr>
      <w:sz w:val="40"/>
      <w:szCs w:val="40"/>
    </w:rPr>
  </w:style>
  <w:style w:type="character" w:styleId="Hyperlink">
    <w:name w:val="Hyperlink"/>
    <w:basedOn w:val="DefaultParagraphFont"/>
    <w:uiPriority w:val="99"/>
    <w:semiHidden/>
    <w:unhideWhenUsed/>
    <w:rsid w:val="00AE6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007812">
      <w:bodyDiv w:val="1"/>
      <w:marLeft w:val="0"/>
      <w:marRight w:val="0"/>
      <w:marTop w:val="0"/>
      <w:marBottom w:val="0"/>
      <w:divBdr>
        <w:top w:val="none" w:sz="0" w:space="0" w:color="auto"/>
        <w:left w:val="none" w:sz="0" w:space="0" w:color="auto"/>
        <w:bottom w:val="none" w:sz="0" w:space="0" w:color="auto"/>
        <w:right w:val="none" w:sz="0" w:space="0" w:color="auto"/>
      </w:divBdr>
    </w:div>
    <w:div w:id="881333116">
      <w:bodyDiv w:val="1"/>
      <w:marLeft w:val="0"/>
      <w:marRight w:val="0"/>
      <w:marTop w:val="0"/>
      <w:marBottom w:val="0"/>
      <w:divBdr>
        <w:top w:val="none" w:sz="0" w:space="0" w:color="auto"/>
        <w:left w:val="none" w:sz="0" w:space="0" w:color="auto"/>
        <w:bottom w:val="none" w:sz="0" w:space="0" w:color="auto"/>
        <w:right w:val="none" w:sz="0" w:space="0" w:color="auto"/>
      </w:divBdr>
    </w:div>
    <w:div w:id="8999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peo.org/what-is-a-peo/about-the-peo-industry/industry-statist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financenews.com/news/most-small-business-owners-worry-about-cost-health-coverage-survey-shows" TargetMode="External"/><Relationship Id="rId5" Type="http://schemas.openxmlformats.org/officeDocument/2006/relationships/webSettings" Target="webSettings.xml"/><Relationship Id="rId10" Type="http://schemas.openxmlformats.org/officeDocument/2006/relationships/hyperlink" Target="https://www.glassdoor.com/employers/blog/salary-benefits-survey/?utm_referrer=https%3A%2F%2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A019-F4FD-E840-A572-D9C9C64D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985</Words>
  <Characters>5073</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Doughty</dc:creator>
  <cp:keywords/>
  <dc:description/>
  <cp:lastModifiedBy>Ken Paetzold</cp:lastModifiedBy>
  <cp:revision>3</cp:revision>
  <dcterms:created xsi:type="dcterms:W3CDTF">2020-06-26T16:03:00Z</dcterms:created>
  <dcterms:modified xsi:type="dcterms:W3CDTF">2020-09-08T18:24:00Z</dcterms:modified>
</cp:coreProperties>
</file>